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5E22">
      <w:pPr>
        <w:spacing w:line="360" w:lineRule="auto"/>
        <w:jc w:val="center"/>
        <w:outlineLvl w:val="0"/>
        <w:rPr>
          <w:rFonts w:ascii="宋体" w:hAnsi="宋体" w:eastAsia="宋体" w:cs="@仿宋_GB2312"/>
          <w:b/>
          <w:color w:val="auto"/>
          <w:sz w:val="28"/>
          <w:szCs w:val="20"/>
          <w:highlight w:val="none"/>
        </w:rPr>
      </w:pPr>
      <w:r>
        <w:rPr>
          <w:rFonts w:hint="eastAsia" w:ascii="宋体" w:hAnsi="宋体" w:eastAsia="宋体" w:cs="@仿宋_GB2312"/>
          <w:b/>
          <w:color w:val="auto"/>
          <w:sz w:val="28"/>
          <w:szCs w:val="20"/>
          <w:highlight w:val="none"/>
        </w:rPr>
        <w:t>采购需求</w:t>
      </w:r>
    </w:p>
    <w:p w14:paraId="3764B6C4">
      <w:pPr>
        <w:spacing w:line="360" w:lineRule="auto"/>
        <w:rPr>
          <w:rFonts w:ascii="宋体" w:hAnsi="宋体" w:eastAsia="宋体" w:cs="@仿宋_GB2312"/>
          <w:b/>
          <w:color w:val="auto"/>
          <w:sz w:val="24"/>
          <w:szCs w:val="20"/>
          <w:highlight w:val="none"/>
        </w:rPr>
      </w:pPr>
      <w:r>
        <w:rPr>
          <w:rFonts w:hint="eastAsia" w:ascii="宋体" w:hAnsi="宋体" w:eastAsia="宋体" w:cs="@仿宋_GB2312"/>
          <w:b/>
          <w:color w:val="auto"/>
          <w:sz w:val="24"/>
          <w:szCs w:val="20"/>
          <w:highlight w:val="none"/>
        </w:rPr>
        <w:t>前注：</w:t>
      </w:r>
    </w:p>
    <w:p w14:paraId="1B6CB084">
      <w:pPr>
        <w:spacing w:line="360" w:lineRule="auto"/>
        <w:ind w:firstLine="480" w:firstLineChars="200"/>
        <w:rPr>
          <w:rFonts w:ascii="宋体" w:hAnsi="宋体" w:eastAsia="宋体" w:cs="@仿宋_GB2312"/>
          <w:color w:val="auto"/>
          <w:sz w:val="24"/>
          <w:szCs w:val="18"/>
          <w:highlight w:val="none"/>
        </w:rPr>
      </w:pPr>
      <w:r>
        <w:rPr>
          <w:rFonts w:hint="eastAsia" w:ascii="宋体" w:hAnsi="宋体" w:eastAsia="宋体" w:cs="@仿宋_GB2312"/>
          <w:color w:val="auto"/>
          <w:sz w:val="24"/>
          <w:szCs w:val="20"/>
          <w:highlight w:val="none"/>
        </w:rPr>
        <w:t>1.</w:t>
      </w:r>
      <w:r>
        <w:rPr>
          <w:rFonts w:ascii="宋体" w:hAnsi="宋体" w:eastAsia="宋体" w:cs="@仿宋_GB2312"/>
          <w:color w:val="auto"/>
          <w:sz w:val="24"/>
          <w:szCs w:val="18"/>
          <w:highlight w:val="none"/>
        </w:rPr>
        <w:t>根据《</w:t>
      </w:r>
      <w:r>
        <w:rPr>
          <w:rFonts w:hint="eastAsia" w:ascii="宋体" w:hAnsi="宋体" w:eastAsia="宋体" w:cs="@仿宋_GB2312"/>
          <w:color w:val="auto"/>
          <w:sz w:val="24"/>
          <w:szCs w:val="18"/>
          <w:highlight w:val="none"/>
        </w:rPr>
        <w:t>政府采购进口产品管理办法</w:t>
      </w:r>
      <w:r>
        <w:rPr>
          <w:rFonts w:ascii="宋体" w:hAnsi="宋体" w:eastAsia="宋体" w:cs="@仿宋_GB2312"/>
          <w:color w:val="auto"/>
          <w:sz w:val="24"/>
          <w:szCs w:val="18"/>
          <w:highlight w:val="none"/>
        </w:rPr>
        <w:t>》及政府采购管理部门的相关规定，下列采购需求中</w:t>
      </w:r>
      <w:r>
        <w:rPr>
          <w:rFonts w:hint="eastAsia" w:ascii="宋体" w:hAnsi="宋体" w:eastAsia="宋体" w:cs="@仿宋_GB2312"/>
          <w:color w:val="auto"/>
          <w:sz w:val="24"/>
          <w:szCs w:val="18"/>
          <w:highlight w:val="none"/>
        </w:rPr>
        <w:t>标注进口产品的货物均</w:t>
      </w:r>
      <w:r>
        <w:rPr>
          <w:rFonts w:ascii="宋体" w:hAnsi="宋体" w:eastAsia="宋体" w:cs="@仿宋_GB2312"/>
          <w:color w:val="auto"/>
          <w:sz w:val="24"/>
          <w:szCs w:val="18"/>
          <w:highlight w:val="none"/>
        </w:rPr>
        <w:t>已履行相关论证手续，经核准采购进口</w:t>
      </w:r>
      <w:r>
        <w:rPr>
          <w:rFonts w:hint="eastAsia" w:ascii="宋体" w:hAnsi="宋体" w:eastAsia="宋体" w:cs="@仿宋_GB2312"/>
          <w:color w:val="auto"/>
          <w:sz w:val="24"/>
          <w:szCs w:val="18"/>
          <w:highlight w:val="none"/>
        </w:rPr>
        <w:t>产品</w:t>
      </w:r>
      <w:r>
        <w:rPr>
          <w:rFonts w:ascii="宋体" w:hAnsi="宋体" w:eastAsia="宋体" w:cs="@仿宋_GB2312"/>
          <w:color w:val="auto"/>
          <w:sz w:val="24"/>
          <w:szCs w:val="18"/>
          <w:highlight w:val="none"/>
        </w:rPr>
        <w:t>，但不限制满足</w:t>
      </w:r>
      <w:r>
        <w:rPr>
          <w:rFonts w:hint="eastAsia" w:ascii="宋体" w:hAnsi="宋体" w:eastAsia="宋体" w:cs="@仿宋_GB2312"/>
          <w:color w:val="auto"/>
          <w:sz w:val="24"/>
          <w:szCs w:val="18"/>
          <w:highlight w:val="none"/>
        </w:rPr>
        <w:t>谈判</w:t>
      </w:r>
      <w:r>
        <w:rPr>
          <w:rFonts w:ascii="宋体" w:hAnsi="宋体" w:eastAsia="宋体" w:cs="@仿宋_GB2312"/>
          <w:color w:val="auto"/>
          <w:sz w:val="24"/>
          <w:szCs w:val="18"/>
          <w:highlight w:val="none"/>
        </w:rPr>
        <w:t>文件要求的国内产品参与竞争</w:t>
      </w:r>
      <w:r>
        <w:rPr>
          <w:rFonts w:hint="eastAsia" w:ascii="宋体" w:hAnsi="宋体" w:eastAsia="宋体" w:cs="@仿宋_GB2312"/>
          <w:color w:val="auto"/>
          <w:sz w:val="24"/>
          <w:szCs w:val="18"/>
          <w:highlight w:val="none"/>
        </w:rPr>
        <w:t>。未标注进口产品的货物均</w:t>
      </w:r>
      <w:r>
        <w:rPr>
          <w:rFonts w:ascii="宋体" w:hAnsi="宋体" w:eastAsia="宋体" w:cs="@仿宋_GB2312"/>
          <w:color w:val="auto"/>
          <w:sz w:val="24"/>
          <w:szCs w:val="18"/>
          <w:highlight w:val="none"/>
        </w:rPr>
        <w:t>为拒绝采购进口产品</w:t>
      </w:r>
      <w:r>
        <w:rPr>
          <w:rFonts w:hint="eastAsia" w:ascii="宋体" w:hAnsi="宋体" w:eastAsia="宋体" w:cs="@仿宋_GB2312"/>
          <w:color w:val="auto"/>
          <w:sz w:val="24"/>
          <w:szCs w:val="18"/>
          <w:highlight w:val="none"/>
        </w:rPr>
        <w:t>。</w:t>
      </w:r>
    </w:p>
    <w:p w14:paraId="3A8178A2">
      <w:pPr>
        <w:spacing w:line="360" w:lineRule="auto"/>
        <w:ind w:firstLine="435"/>
        <w:rPr>
          <w:rFonts w:hint="eastAsia" w:ascii="宋体" w:hAnsi="宋体" w:eastAsia="宋体" w:cs="@仿宋_GB2312"/>
          <w:color w:val="auto"/>
          <w:sz w:val="24"/>
          <w:szCs w:val="18"/>
          <w:highlight w:val="yellow"/>
        </w:rPr>
      </w:pPr>
      <w:r>
        <w:rPr>
          <w:rFonts w:hint="eastAsia" w:ascii="宋体" w:hAnsi="宋体" w:eastAsia="宋体" w:cs="宋体"/>
          <w:color w:val="auto"/>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61226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8E1D3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25C4B7E">
      <w:pPr>
        <w:spacing w:line="360" w:lineRule="auto"/>
        <w:ind w:firstLine="437"/>
        <w:outlineLvl w:val="1"/>
        <w:rPr>
          <w:rFonts w:hint="eastAsia" w:ascii="宋体" w:hAnsi="宋体" w:eastAsia="宋体" w:cs="@仿宋_GB2312"/>
          <w:b/>
          <w:bCs/>
          <w:color w:val="auto"/>
          <w:sz w:val="24"/>
          <w:szCs w:val="18"/>
          <w:highlight w:val="none"/>
        </w:rPr>
      </w:pPr>
      <w:bookmarkStart w:id="0" w:name="_Toc20480"/>
      <w:bookmarkStart w:id="1" w:name="_Toc26457"/>
      <w:r>
        <w:rPr>
          <w:rFonts w:hint="eastAsia" w:ascii="宋体" w:hAnsi="宋体" w:eastAsia="宋体" w:cs="@仿宋_GB2312"/>
          <w:b/>
          <w:bCs/>
          <w:color w:val="auto"/>
          <w:sz w:val="24"/>
          <w:szCs w:val="18"/>
          <w:highlight w:val="none"/>
        </w:rPr>
        <w:t>一、采购需求前附表</w:t>
      </w:r>
      <w:bookmarkEnd w:id="0"/>
      <w:bookmarkEnd w:id="1"/>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8A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85E70D">
            <w:pPr>
              <w:widowControl w:val="0"/>
              <w:pBdr>
                <w:bottom w:val="none" w:color="auto" w:sz="0" w:space="0"/>
              </w:pBdr>
              <w:adjustRightInd/>
              <w:snapToGrid/>
              <w:spacing w:line="240" w:lineRule="auto"/>
              <w:jc w:val="center"/>
              <w:textAlignment w:val="auto"/>
              <w:rPr>
                <w:rFonts w:ascii="宋体" w:hAnsi="宋体" w:eastAsia="宋体" w:cs="@仿宋_GB2312"/>
                <w:b/>
                <w:color w:val="auto"/>
                <w:kern w:val="2"/>
                <w:sz w:val="24"/>
                <w:szCs w:val="20"/>
                <w:highlight w:val="none"/>
                <w:lang w:val="en-US" w:eastAsia="zh-CN" w:bidi="ar-SA"/>
              </w:rPr>
            </w:pPr>
            <w:r>
              <w:rPr>
                <w:rFonts w:hint="eastAsia" w:ascii="宋体" w:hAnsi="宋体" w:eastAsia="宋体" w:cs="@仿宋_GB2312"/>
                <w:b/>
                <w:color w:val="auto"/>
                <w:kern w:val="2"/>
                <w:sz w:val="24"/>
                <w:szCs w:val="20"/>
                <w:highlight w:val="none"/>
                <w:lang w:val="en-US" w:eastAsia="zh-CN" w:bidi="ar-SA"/>
              </w:rPr>
              <w:t>序号</w:t>
            </w:r>
          </w:p>
        </w:tc>
        <w:tc>
          <w:tcPr>
            <w:tcW w:w="1192" w:type="pct"/>
            <w:vAlign w:val="center"/>
          </w:tcPr>
          <w:p w14:paraId="74730069">
            <w:pPr>
              <w:widowControl w:val="0"/>
              <w:spacing w:before="0" w:beforeAutospacing="0" w:after="0" w:afterAutospacing="0" w:line="360" w:lineRule="auto"/>
              <w:jc w:val="center"/>
              <w:rPr>
                <w:rFonts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条款名称</w:t>
            </w:r>
          </w:p>
        </w:tc>
        <w:tc>
          <w:tcPr>
            <w:tcW w:w="3217" w:type="pct"/>
            <w:vAlign w:val="center"/>
          </w:tcPr>
          <w:p w14:paraId="5D0094C8">
            <w:pPr>
              <w:widowControl w:val="0"/>
              <w:spacing w:before="0" w:beforeAutospacing="0" w:after="0" w:afterAutospacing="0" w:line="360" w:lineRule="auto"/>
              <w:jc w:val="center"/>
              <w:rPr>
                <w:rFonts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内容、说明与要求</w:t>
            </w:r>
          </w:p>
        </w:tc>
      </w:tr>
      <w:tr w14:paraId="4A37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ABB1515">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1</w:t>
            </w:r>
          </w:p>
        </w:tc>
        <w:tc>
          <w:tcPr>
            <w:tcW w:w="1192" w:type="pct"/>
            <w:vAlign w:val="center"/>
          </w:tcPr>
          <w:p w14:paraId="631EFDF0">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付款方式</w:t>
            </w:r>
          </w:p>
        </w:tc>
        <w:tc>
          <w:tcPr>
            <w:tcW w:w="3217" w:type="pct"/>
            <w:vAlign w:val="center"/>
          </w:tcPr>
          <w:p w14:paraId="06A0667A">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bCs/>
                <w:color w:val="auto"/>
                <w:kern w:val="0"/>
                <w:sz w:val="24"/>
                <w:szCs w:val="28"/>
                <w:highlight w:val="none"/>
                <w:lang w:val="en-US" w:eastAsia="zh-CN" w:bidi="ar-SA"/>
              </w:rPr>
              <w:t xml:space="preserve">每批货物验收合格后支付该批次货物价款。 </w:t>
            </w:r>
            <w:r>
              <w:rPr>
                <w:rFonts w:hint="eastAsia" w:ascii="宋体" w:hAnsi="宋体" w:eastAsia="宋体" w:cs="@仿宋_GB2312"/>
                <w:b w:val="0"/>
                <w:bCs/>
                <w:color w:val="auto"/>
                <w:kern w:val="0"/>
                <w:sz w:val="24"/>
                <w:szCs w:val="28"/>
                <w:highlight w:val="none"/>
                <w:u w:val="none"/>
                <w:lang w:val="en-US" w:eastAsia="zh-CN" w:bidi="ar-SA"/>
              </w:rPr>
              <w:t xml:space="preserve">    </w:t>
            </w:r>
          </w:p>
        </w:tc>
      </w:tr>
      <w:tr w14:paraId="13E2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C9C29D">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2</w:t>
            </w:r>
          </w:p>
        </w:tc>
        <w:tc>
          <w:tcPr>
            <w:tcW w:w="1192" w:type="pct"/>
            <w:vAlign w:val="center"/>
          </w:tcPr>
          <w:p w14:paraId="537F586A">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供货及安装地点</w:t>
            </w:r>
          </w:p>
        </w:tc>
        <w:tc>
          <w:tcPr>
            <w:tcW w:w="3217" w:type="pct"/>
            <w:vAlign w:val="center"/>
          </w:tcPr>
          <w:p w14:paraId="348BAF4D">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 xml:space="preserve">安庆市妇幼保健计划生育服务中心        </w:t>
            </w:r>
          </w:p>
        </w:tc>
      </w:tr>
      <w:tr w14:paraId="7039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6ACF44">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3</w:t>
            </w:r>
          </w:p>
        </w:tc>
        <w:tc>
          <w:tcPr>
            <w:tcW w:w="1192" w:type="pct"/>
            <w:vAlign w:val="center"/>
          </w:tcPr>
          <w:p w14:paraId="7BFC69F3">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供货及安装期限</w:t>
            </w:r>
          </w:p>
        </w:tc>
        <w:tc>
          <w:tcPr>
            <w:tcW w:w="3217" w:type="pct"/>
            <w:vAlign w:val="center"/>
          </w:tcPr>
          <w:p w14:paraId="16C5B067">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val="0"/>
                <w:color w:val="auto"/>
                <w:kern w:val="0"/>
                <w:sz w:val="24"/>
                <w:szCs w:val="28"/>
                <w:highlight w:val="none"/>
                <w:lang w:val="en-US" w:eastAsia="zh-CN" w:bidi="ar-SA"/>
              </w:rPr>
              <w:t>合同签订后一年内按照采购人的要求分批供货。</w:t>
            </w:r>
          </w:p>
        </w:tc>
      </w:tr>
      <w:tr w14:paraId="285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2A3453B">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4</w:t>
            </w:r>
          </w:p>
        </w:tc>
        <w:tc>
          <w:tcPr>
            <w:tcW w:w="1192" w:type="pct"/>
            <w:vAlign w:val="center"/>
          </w:tcPr>
          <w:p w14:paraId="525D6E33">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免费质保期</w:t>
            </w:r>
          </w:p>
        </w:tc>
        <w:tc>
          <w:tcPr>
            <w:tcW w:w="3217" w:type="pct"/>
            <w:vAlign w:val="center"/>
          </w:tcPr>
          <w:p w14:paraId="66C95151">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 xml:space="preserve">除另有约定外,供应商交付全部货物的包装要求严格按照国家强制标准执行。          </w:t>
            </w:r>
          </w:p>
        </w:tc>
      </w:tr>
    </w:tbl>
    <w:p w14:paraId="473E7DF3">
      <w:pPr>
        <w:spacing w:line="360" w:lineRule="auto"/>
        <w:ind w:firstLine="437"/>
        <w:outlineLvl w:val="1"/>
        <w:rPr>
          <w:rFonts w:ascii="宋体" w:hAnsi="宋体" w:eastAsia="宋体" w:cs="@仿宋_GB2312"/>
          <w:b/>
          <w:bCs/>
          <w:color w:val="auto"/>
          <w:sz w:val="24"/>
          <w:szCs w:val="18"/>
          <w:highlight w:val="none"/>
        </w:rPr>
      </w:pPr>
      <w:bookmarkStart w:id="2" w:name="_Toc8981"/>
      <w:bookmarkStart w:id="3" w:name="_Toc25805"/>
      <w:r>
        <w:rPr>
          <w:rFonts w:hint="eastAsia" w:ascii="宋体" w:hAnsi="宋体" w:eastAsia="宋体" w:cs="@仿宋_GB2312"/>
          <w:b/>
          <w:bCs/>
          <w:color w:val="auto"/>
          <w:sz w:val="24"/>
          <w:szCs w:val="18"/>
          <w:highlight w:val="none"/>
        </w:rPr>
        <w:t>二、货物需求</w:t>
      </w:r>
      <w:bookmarkEnd w:id="2"/>
      <w:bookmarkEnd w:id="3"/>
    </w:p>
    <w:tbl>
      <w:tblPr>
        <w:tblStyle w:val="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538"/>
        <w:gridCol w:w="2193"/>
        <w:gridCol w:w="894"/>
        <w:gridCol w:w="758"/>
        <w:gridCol w:w="724"/>
        <w:gridCol w:w="1049"/>
        <w:gridCol w:w="783"/>
      </w:tblGrid>
      <w:tr w14:paraId="32A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7DB9DF04">
            <w:pPr>
              <w:spacing w:line="240" w:lineRule="auto"/>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18"/>
                <w:highlight w:val="none"/>
              </w:rPr>
              <w:t>序号</w:t>
            </w:r>
          </w:p>
        </w:tc>
        <w:tc>
          <w:tcPr>
            <w:tcW w:w="904" w:type="pct"/>
            <w:vAlign w:val="center"/>
          </w:tcPr>
          <w:p w14:paraId="0A078F5F">
            <w:pPr>
              <w:spacing w:line="240" w:lineRule="auto"/>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18"/>
                <w:highlight w:val="none"/>
              </w:rPr>
              <w:t>货物名称</w:t>
            </w:r>
          </w:p>
        </w:tc>
        <w:tc>
          <w:tcPr>
            <w:tcW w:w="1288" w:type="pct"/>
            <w:vAlign w:val="center"/>
          </w:tcPr>
          <w:p w14:paraId="72B2493C">
            <w:pPr>
              <w:spacing w:line="240" w:lineRule="auto"/>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18"/>
                <w:highlight w:val="none"/>
              </w:rPr>
              <w:t>技术参数及要求</w:t>
            </w:r>
          </w:p>
        </w:tc>
        <w:tc>
          <w:tcPr>
            <w:tcW w:w="525" w:type="pct"/>
            <w:vAlign w:val="center"/>
          </w:tcPr>
          <w:p w14:paraId="1A4F623E">
            <w:pPr>
              <w:spacing w:line="240" w:lineRule="auto"/>
              <w:jc w:val="center"/>
              <w:rPr>
                <w:rFonts w:hint="eastAsia" w:ascii="宋体" w:hAnsi="宋体" w:eastAsia="宋体" w:cs="@仿宋_GB2312"/>
                <w:b/>
                <w:bCs/>
                <w:color w:val="auto"/>
                <w:sz w:val="24"/>
                <w:szCs w:val="18"/>
                <w:highlight w:val="none"/>
              </w:rPr>
            </w:pPr>
            <w:r>
              <w:rPr>
                <w:rFonts w:hint="eastAsia" w:ascii="宋体" w:hAnsi="宋体" w:eastAsia="宋体" w:cs="@仿宋_GB2312"/>
                <w:b/>
                <w:bCs/>
                <w:color w:val="auto"/>
                <w:sz w:val="24"/>
                <w:szCs w:val="18"/>
                <w:highlight w:val="none"/>
              </w:rPr>
              <w:t>单位</w:t>
            </w:r>
          </w:p>
        </w:tc>
        <w:tc>
          <w:tcPr>
            <w:tcW w:w="445" w:type="pct"/>
            <w:vAlign w:val="center"/>
          </w:tcPr>
          <w:p w14:paraId="424D2D57">
            <w:pPr>
              <w:spacing w:line="240" w:lineRule="auto"/>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18"/>
                <w:highlight w:val="none"/>
              </w:rPr>
              <w:t>数量</w:t>
            </w:r>
          </w:p>
        </w:tc>
        <w:tc>
          <w:tcPr>
            <w:tcW w:w="425" w:type="pct"/>
            <w:vAlign w:val="center"/>
          </w:tcPr>
          <w:p w14:paraId="2A7F2054">
            <w:pPr>
              <w:spacing w:line="240" w:lineRule="auto"/>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18"/>
                <w:highlight w:val="none"/>
              </w:rPr>
              <w:t>所属行业</w:t>
            </w:r>
          </w:p>
        </w:tc>
        <w:tc>
          <w:tcPr>
            <w:tcW w:w="616" w:type="pct"/>
            <w:vAlign w:val="center"/>
          </w:tcPr>
          <w:p w14:paraId="5F90FF27">
            <w:pPr>
              <w:spacing w:line="240" w:lineRule="auto"/>
              <w:jc w:val="center"/>
              <w:rPr>
                <w:rFonts w:hint="default" w:ascii="宋体" w:hAnsi="宋体" w:eastAsia="宋体" w:cs="@仿宋_GB2312"/>
                <w:b/>
                <w:bCs/>
                <w:color w:val="auto"/>
                <w:sz w:val="24"/>
                <w:szCs w:val="18"/>
                <w:highlight w:val="none"/>
                <w:lang w:val="en-US" w:eastAsia="zh-CN"/>
              </w:rPr>
            </w:pPr>
            <w:r>
              <w:rPr>
                <w:rFonts w:hint="eastAsia" w:ascii="宋体" w:hAnsi="宋体" w:eastAsia="宋体" w:cs="@仿宋_GB2312"/>
                <w:b/>
                <w:bCs/>
                <w:color w:val="auto"/>
                <w:sz w:val="24"/>
                <w:szCs w:val="18"/>
                <w:highlight w:val="none"/>
                <w:lang w:val="en-US" w:eastAsia="zh-CN"/>
              </w:rPr>
              <w:t>是否为核心产品</w:t>
            </w:r>
          </w:p>
        </w:tc>
        <w:tc>
          <w:tcPr>
            <w:tcW w:w="457" w:type="pct"/>
            <w:vAlign w:val="center"/>
          </w:tcPr>
          <w:p w14:paraId="52FD2B3B">
            <w:pPr>
              <w:spacing w:line="240" w:lineRule="auto"/>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18"/>
                <w:highlight w:val="none"/>
              </w:rPr>
              <w:t>备注</w:t>
            </w:r>
          </w:p>
        </w:tc>
      </w:tr>
      <w:tr w14:paraId="7098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643A1DDB">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w:t>
            </w:r>
          </w:p>
        </w:tc>
        <w:tc>
          <w:tcPr>
            <w:tcW w:w="904" w:type="pct"/>
            <w:vAlign w:val="center"/>
          </w:tcPr>
          <w:p w14:paraId="0DBE7EF8">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GSP 苯丙氨酸测定试剂盒（荧光法）</w:t>
            </w:r>
          </w:p>
        </w:tc>
        <w:tc>
          <w:tcPr>
            <w:tcW w:w="1288" w:type="pct"/>
            <w:vAlign w:val="center"/>
          </w:tcPr>
          <w:p w14:paraId="5B8B624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具体参数见附件（一）</w:t>
            </w:r>
          </w:p>
        </w:tc>
        <w:tc>
          <w:tcPr>
            <w:tcW w:w="525" w:type="pct"/>
            <w:vAlign w:val="center"/>
          </w:tcPr>
          <w:p w14:paraId="18B7B0ED">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人份</w:t>
            </w:r>
          </w:p>
        </w:tc>
        <w:tc>
          <w:tcPr>
            <w:tcW w:w="445" w:type="pct"/>
            <w:vAlign w:val="center"/>
          </w:tcPr>
          <w:p w14:paraId="44E904A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25000</w:t>
            </w:r>
          </w:p>
        </w:tc>
        <w:tc>
          <w:tcPr>
            <w:tcW w:w="425" w:type="pct"/>
            <w:vAlign w:val="center"/>
          </w:tcPr>
          <w:p w14:paraId="51F5F396">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工业</w:t>
            </w:r>
          </w:p>
        </w:tc>
        <w:tc>
          <w:tcPr>
            <w:tcW w:w="616" w:type="pct"/>
            <w:vAlign w:val="center"/>
          </w:tcPr>
          <w:p w14:paraId="42412B46">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5F2C4083">
            <w:pPr>
              <w:widowControl/>
              <w:spacing w:beforeLines="0" w:afterLines="0"/>
              <w:jc w:val="center"/>
              <w:rPr>
                <w:rFonts w:hint="eastAsia" w:ascii="宋体" w:hAnsi="宋体" w:eastAsia="宋体" w:cs="宋体"/>
                <w:bCs/>
                <w:color w:val="auto"/>
                <w:sz w:val="21"/>
                <w:szCs w:val="21"/>
                <w:highlight w:val="none"/>
              </w:rPr>
            </w:pPr>
            <w:r>
              <w:rPr>
                <w:rFonts w:hint="default" w:ascii="宋体" w:hAnsi="宋体" w:eastAsia="宋体" w:cs="宋体"/>
                <w:b/>
                <w:color w:val="000000"/>
                <w:kern w:val="0"/>
                <w:sz w:val="21"/>
                <w:szCs w:val="21"/>
                <w:highlight w:val="none"/>
              </w:rPr>
              <w:t>进口</w:t>
            </w:r>
          </w:p>
        </w:tc>
      </w:tr>
      <w:tr w14:paraId="235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649C1627">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w:t>
            </w:r>
          </w:p>
        </w:tc>
        <w:tc>
          <w:tcPr>
            <w:tcW w:w="904" w:type="pct"/>
            <w:vAlign w:val="center"/>
          </w:tcPr>
          <w:p w14:paraId="41CD384E">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GSP 促甲状腺素测定试剂盒（时间分辨荧光法）</w:t>
            </w:r>
          </w:p>
        </w:tc>
        <w:tc>
          <w:tcPr>
            <w:tcW w:w="1288" w:type="pct"/>
            <w:vAlign w:val="center"/>
          </w:tcPr>
          <w:p w14:paraId="0CD290B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具体参数见附件（二）</w:t>
            </w:r>
          </w:p>
        </w:tc>
        <w:tc>
          <w:tcPr>
            <w:tcW w:w="525" w:type="pct"/>
            <w:vAlign w:val="center"/>
          </w:tcPr>
          <w:p w14:paraId="749ECB5A">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人份</w:t>
            </w:r>
          </w:p>
        </w:tc>
        <w:tc>
          <w:tcPr>
            <w:tcW w:w="445" w:type="pct"/>
            <w:vAlign w:val="center"/>
          </w:tcPr>
          <w:p w14:paraId="43BBF31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25000</w:t>
            </w:r>
          </w:p>
        </w:tc>
        <w:tc>
          <w:tcPr>
            <w:tcW w:w="425" w:type="pct"/>
            <w:vAlign w:val="center"/>
          </w:tcPr>
          <w:p w14:paraId="4EC919B5">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7DE0F76C">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23FAE742">
            <w:pPr>
              <w:widowControl/>
              <w:spacing w:beforeLines="0" w:afterLines="0"/>
              <w:jc w:val="center"/>
              <w:rPr>
                <w:rFonts w:hint="eastAsia" w:ascii="宋体" w:hAnsi="宋体" w:eastAsia="宋体" w:cs="宋体"/>
                <w:bCs/>
                <w:color w:val="auto"/>
                <w:sz w:val="21"/>
                <w:szCs w:val="21"/>
                <w:highlight w:val="none"/>
              </w:rPr>
            </w:pPr>
            <w:r>
              <w:rPr>
                <w:rFonts w:hint="default" w:ascii="宋体" w:hAnsi="宋体" w:eastAsia="宋体" w:cs="宋体"/>
                <w:b/>
                <w:color w:val="000000"/>
                <w:kern w:val="0"/>
                <w:sz w:val="21"/>
                <w:szCs w:val="21"/>
                <w:highlight w:val="none"/>
              </w:rPr>
              <w:t>进口</w:t>
            </w:r>
          </w:p>
        </w:tc>
      </w:tr>
      <w:tr w14:paraId="05E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28E0D77D">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3</w:t>
            </w:r>
          </w:p>
        </w:tc>
        <w:tc>
          <w:tcPr>
            <w:tcW w:w="904" w:type="pct"/>
            <w:vAlign w:val="center"/>
          </w:tcPr>
          <w:p w14:paraId="67B3C8F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GSP 17α-羟孕酮测定试剂盒（时间分辨荧光法）</w:t>
            </w:r>
          </w:p>
        </w:tc>
        <w:tc>
          <w:tcPr>
            <w:tcW w:w="1288" w:type="pct"/>
            <w:vAlign w:val="center"/>
          </w:tcPr>
          <w:p w14:paraId="1DC8541F">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具体参数见附件（三）</w:t>
            </w:r>
          </w:p>
        </w:tc>
        <w:tc>
          <w:tcPr>
            <w:tcW w:w="525" w:type="pct"/>
            <w:vAlign w:val="center"/>
          </w:tcPr>
          <w:p w14:paraId="2BEB29C4">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人份</w:t>
            </w:r>
          </w:p>
        </w:tc>
        <w:tc>
          <w:tcPr>
            <w:tcW w:w="445" w:type="pct"/>
            <w:vAlign w:val="center"/>
          </w:tcPr>
          <w:p w14:paraId="1264EF65">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25000</w:t>
            </w:r>
          </w:p>
        </w:tc>
        <w:tc>
          <w:tcPr>
            <w:tcW w:w="425" w:type="pct"/>
            <w:vAlign w:val="center"/>
          </w:tcPr>
          <w:p w14:paraId="422B965A">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646A13AC">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3CA6A3B">
            <w:pPr>
              <w:widowControl/>
              <w:spacing w:beforeLines="0" w:afterLines="0"/>
              <w:jc w:val="center"/>
              <w:rPr>
                <w:rFonts w:hint="eastAsia" w:ascii="宋体" w:hAnsi="宋体" w:eastAsia="宋体" w:cs="宋体"/>
                <w:b/>
                <w:color w:val="000000"/>
                <w:kern w:val="0"/>
                <w:sz w:val="21"/>
                <w:szCs w:val="21"/>
                <w:highlight w:val="none"/>
              </w:rPr>
            </w:pPr>
            <w:r>
              <w:rPr>
                <w:rFonts w:hint="default" w:ascii="宋体" w:hAnsi="宋体" w:eastAsia="宋体" w:cs="宋体"/>
                <w:b/>
                <w:color w:val="000000"/>
                <w:kern w:val="0"/>
                <w:sz w:val="21"/>
                <w:szCs w:val="21"/>
                <w:highlight w:val="none"/>
              </w:rPr>
              <w:t>进口</w:t>
            </w:r>
          </w:p>
        </w:tc>
      </w:tr>
      <w:tr w14:paraId="6652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65AE92F0">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4</w:t>
            </w:r>
          </w:p>
        </w:tc>
        <w:tc>
          <w:tcPr>
            <w:tcW w:w="904" w:type="pct"/>
            <w:vAlign w:val="center"/>
          </w:tcPr>
          <w:p w14:paraId="0904A8D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新生儿多种遗传代谢病筛查试剂（串联质谱法）</w:t>
            </w:r>
          </w:p>
        </w:tc>
        <w:tc>
          <w:tcPr>
            <w:tcW w:w="1288" w:type="pct"/>
            <w:vAlign w:val="center"/>
          </w:tcPr>
          <w:p w14:paraId="34FB72B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具体参数见附件（四）</w:t>
            </w:r>
          </w:p>
        </w:tc>
        <w:tc>
          <w:tcPr>
            <w:tcW w:w="525" w:type="pct"/>
            <w:vAlign w:val="center"/>
          </w:tcPr>
          <w:p w14:paraId="30AE2BC7">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人份</w:t>
            </w:r>
          </w:p>
        </w:tc>
        <w:tc>
          <w:tcPr>
            <w:tcW w:w="445" w:type="pct"/>
            <w:vAlign w:val="center"/>
          </w:tcPr>
          <w:p w14:paraId="0DF940B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25000</w:t>
            </w:r>
          </w:p>
        </w:tc>
        <w:tc>
          <w:tcPr>
            <w:tcW w:w="425" w:type="pct"/>
            <w:vAlign w:val="center"/>
          </w:tcPr>
          <w:p w14:paraId="7FB5DF38">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6EB9814B">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是</w:t>
            </w:r>
          </w:p>
        </w:tc>
        <w:tc>
          <w:tcPr>
            <w:tcW w:w="457" w:type="pct"/>
            <w:vAlign w:val="center"/>
          </w:tcPr>
          <w:p w14:paraId="17E80A96">
            <w:pPr>
              <w:widowControl/>
              <w:spacing w:beforeLines="0" w:afterLines="0"/>
              <w:jc w:val="center"/>
              <w:rPr>
                <w:rFonts w:hint="eastAsia" w:ascii="宋体" w:hAnsi="宋体" w:eastAsia="宋体" w:cs="宋体"/>
                <w:b/>
                <w:color w:val="000000"/>
                <w:kern w:val="0"/>
                <w:sz w:val="21"/>
                <w:szCs w:val="21"/>
                <w:highlight w:val="none"/>
                <w:lang w:val="en-US" w:eastAsia="zh-CN"/>
              </w:rPr>
            </w:pPr>
          </w:p>
        </w:tc>
      </w:tr>
      <w:tr w14:paraId="2885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5318624B">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5</w:t>
            </w:r>
          </w:p>
        </w:tc>
        <w:tc>
          <w:tcPr>
            <w:tcW w:w="904" w:type="pct"/>
            <w:vAlign w:val="center"/>
          </w:tcPr>
          <w:p w14:paraId="42E329E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诱导剂</w:t>
            </w:r>
          </w:p>
        </w:tc>
        <w:tc>
          <w:tcPr>
            <w:tcW w:w="1288" w:type="pct"/>
            <w:vAlign w:val="center"/>
          </w:tcPr>
          <w:p w14:paraId="7E179169">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4F929F2A">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瓶</w:t>
            </w:r>
          </w:p>
        </w:tc>
        <w:tc>
          <w:tcPr>
            <w:tcW w:w="445" w:type="pct"/>
            <w:vAlign w:val="center"/>
          </w:tcPr>
          <w:p w14:paraId="75F7BB72">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48</w:t>
            </w:r>
          </w:p>
        </w:tc>
        <w:tc>
          <w:tcPr>
            <w:tcW w:w="425" w:type="pct"/>
            <w:vAlign w:val="center"/>
          </w:tcPr>
          <w:p w14:paraId="2C838A69">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0521738B">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1AC4B62">
            <w:pPr>
              <w:widowControl/>
              <w:spacing w:beforeLines="0" w:afterLines="0"/>
              <w:jc w:val="center"/>
              <w:rPr>
                <w:rFonts w:hint="eastAsia" w:ascii="宋体" w:hAnsi="宋体" w:eastAsia="宋体" w:cs="宋体"/>
                <w:b/>
                <w:color w:val="000000"/>
                <w:kern w:val="0"/>
                <w:sz w:val="21"/>
                <w:szCs w:val="21"/>
                <w:highlight w:val="none"/>
              </w:rPr>
            </w:pPr>
            <w:r>
              <w:rPr>
                <w:rFonts w:hint="default" w:ascii="宋体" w:hAnsi="宋体" w:eastAsia="宋体" w:cs="宋体"/>
                <w:b/>
                <w:color w:val="000000"/>
                <w:kern w:val="0"/>
                <w:sz w:val="21"/>
                <w:szCs w:val="21"/>
                <w:highlight w:val="none"/>
              </w:rPr>
              <w:t>进口</w:t>
            </w:r>
          </w:p>
        </w:tc>
      </w:tr>
      <w:tr w14:paraId="5041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560FD914">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6</w:t>
            </w:r>
          </w:p>
        </w:tc>
        <w:tc>
          <w:tcPr>
            <w:tcW w:w="904" w:type="pct"/>
            <w:vAlign w:val="center"/>
          </w:tcPr>
          <w:p w14:paraId="479154DF">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清洗液</w:t>
            </w:r>
          </w:p>
        </w:tc>
        <w:tc>
          <w:tcPr>
            <w:tcW w:w="1288" w:type="pct"/>
            <w:vAlign w:val="center"/>
          </w:tcPr>
          <w:p w14:paraId="0D23377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079BD9BF">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瓶</w:t>
            </w:r>
          </w:p>
        </w:tc>
        <w:tc>
          <w:tcPr>
            <w:tcW w:w="445" w:type="pct"/>
            <w:vAlign w:val="center"/>
          </w:tcPr>
          <w:p w14:paraId="707E076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15</w:t>
            </w:r>
          </w:p>
        </w:tc>
        <w:tc>
          <w:tcPr>
            <w:tcW w:w="425" w:type="pct"/>
            <w:vAlign w:val="center"/>
          </w:tcPr>
          <w:p w14:paraId="48E3FADE">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64923642">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5AA76AD6">
            <w:pPr>
              <w:widowControl/>
              <w:spacing w:beforeLines="0" w:afterLines="0"/>
              <w:jc w:val="center"/>
              <w:rPr>
                <w:rFonts w:hint="eastAsia" w:ascii="宋体" w:hAnsi="宋体" w:eastAsia="宋体" w:cs="宋体"/>
                <w:b/>
                <w:color w:val="000000"/>
                <w:kern w:val="0"/>
                <w:sz w:val="21"/>
                <w:szCs w:val="21"/>
                <w:highlight w:val="none"/>
              </w:rPr>
            </w:pPr>
            <w:r>
              <w:rPr>
                <w:rFonts w:hint="default" w:ascii="宋体" w:hAnsi="宋体" w:eastAsia="宋体" w:cs="宋体"/>
                <w:b/>
                <w:color w:val="000000"/>
                <w:kern w:val="0"/>
                <w:sz w:val="21"/>
                <w:szCs w:val="21"/>
                <w:highlight w:val="none"/>
              </w:rPr>
              <w:t>进口</w:t>
            </w:r>
          </w:p>
        </w:tc>
      </w:tr>
      <w:tr w14:paraId="4151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08842B31">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7</w:t>
            </w:r>
          </w:p>
        </w:tc>
        <w:tc>
          <w:tcPr>
            <w:tcW w:w="904" w:type="pct"/>
            <w:vAlign w:val="center"/>
          </w:tcPr>
          <w:p w14:paraId="0D22603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新生儿血液采集卡</w:t>
            </w:r>
          </w:p>
        </w:tc>
        <w:tc>
          <w:tcPr>
            <w:tcW w:w="1288" w:type="pct"/>
            <w:vAlign w:val="center"/>
          </w:tcPr>
          <w:p w14:paraId="0952730C">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2A5CE447">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张</w:t>
            </w:r>
          </w:p>
        </w:tc>
        <w:tc>
          <w:tcPr>
            <w:tcW w:w="445" w:type="pct"/>
            <w:vAlign w:val="center"/>
          </w:tcPr>
          <w:p w14:paraId="3250FB4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30000</w:t>
            </w:r>
          </w:p>
        </w:tc>
        <w:tc>
          <w:tcPr>
            <w:tcW w:w="425" w:type="pct"/>
            <w:vAlign w:val="center"/>
          </w:tcPr>
          <w:p w14:paraId="31DE4A36">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55C67DD9">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45E37BD1">
            <w:pPr>
              <w:spacing w:line="240" w:lineRule="auto"/>
              <w:jc w:val="center"/>
              <w:rPr>
                <w:rFonts w:hint="eastAsia" w:ascii="宋体" w:hAnsi="宋体" w:eastAsia="宋体" w:cs="宋体"/>
                <w:bCs/>
                <w:color w:val="auto"/>
                <w:sz w:val="21"/>
                <w:szCs w:val="21"/>
                <w:highlight w:val="none"/>
              </w:rPr>
            </w:pPr>
          </w:p>
        </w:tc>
      </w:tr>
      <w:tr w14:paraId="7FDF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5F296795">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8</w:t>
            </w:r>
          </w:p>
        </w:tc>
        <w:tc>
          <w:tcPr>
            <w:tcW w:w="904" w:type="pct"/>
            <w:vAlign w:val="center"/>
          </w:tcPr>
          <w:p w14:paraId="049A33C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新生儿筛查条形码</w:t>
            </w:r>
          </w:p>
        </w:tc>
        <w:tc>
          <w:tcPr>
            <w:tcW w:w="1288" w:type="pct"/>
            <w:vAlign w:val="center"/>
          </w:tcPr>
          <w:p w14:paraId="23E41619">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7E9A7FBB">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张</w:t>
            </w:r>
          </w:p>
        </w:tc>
        <w:tc>
          <w:tcPr>
            <w:tcW w:w="445" w:type="pct"/>
            <w:vAlign w:val="center"/>
          </w:tcPr>
          <w:p w14:paraId="6D55B5B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30000</w:t>
            </w:r>
          </w:p>
        </w:tc>
        <w:tc>
          <w:tcPr>
            <w:tcW w:w="425" w:type="pct"/>
            <w:vAlign w:val="center"/>
          </w:tcPr>
          <w:p w14:paraId="47BF346A">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101A612D">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6D1F6E2B">
            <w:pPr>
              <w:spacing w:line="240" w:lineRule="auto"/>
              <w:jc w:val="center"/>
              <w:rPr>
                <w:rFonts w:hint="eastAsia" w:ascii="宋体" w:hAnsi="宋体" w:eastAsia="宋体" w:cs="宋体"/>
                <w:bCs/>
                <w:color w:val="auto"/>
                <w:sz w:val="21"/>
                <w:szCs w:val="21"/>
                <w:highlight w:val="none"/>
              </w:rPr>
            </w:pPr>
          </w:p>
        </w:tc>
      </w:tr>
      <w:tr w14:paraId="45A5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68E4B3C0">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9</w:t>
            </w:r>
          </w:p>
        </w:tc>
        <w:tc>
          <w:tcPr>
            <w:tcW w:w="904" w:type="pct"/>
            <w:vAlign w:val="center"/>
          </w:tcPr>
          <w:p w14:paraId="6C5EDE0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足跟采血器</w:t>
            </w:r>
          </w:p>
        </w:tc>
        <w:tc>
          <w:tcPr>
            <w:tcW w:w="1288" w:type="pct"/>
            <w:vAlign w:val="center"/>
          </w:tcPr>
          <w:p w14:paraId="4599EBB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0A2881AD">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支</w:t>
            </w:r>
          </w:p>
        </w:tc>
        <w:tc>
          <w:tcPr>
            <w:tcW w:w="445" w:type="pct"/>
            <w:vAlign w:val="center"/>
          </w:tcPr>
          <w:p w14:paraId="7FC74445">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30000</w:t>
            </w:r>
          </w:p>
        </w:tc>
        <w:tc>
          <w:tcPr>
            <w:tcW w:w="425" w:type="pct"/>
            <w:vAlign w:val="center"/>
          </w:tcPr>
          <w:p w14:paraId="4B2F2F1A">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2F6D307B">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5CAF506">
            <w:pPr>
              <w:spacing w:line="240" w:lineRule="auto"/>
              <w:jc w:val="center"/>
              <w:rPr>
                <w:rFonts w:hint="eastAsia" w:ascii="宋体" w:hAnsi="宋体" w:eastAsia="宋体" w:cs="宋体"/>
                <w:bCs/>
                <w:color w:val="auto"/>
                <w:sz w:val="21"/>
                <w:szCs w:val="21"/>
                <w:highlight w:val="none"/>
              </w:rPr>
            </w:pPr>
          </w:p>
        </w:tc>
      </w:tr>
      <w:tr w14:paraId="52F5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7224A124">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10</w:t>
            </w:r>
          </w:p>
        </w:tc>
        <w:tc>
          <w:tcPr>
            <w:tcW w:w="904" w:type="pct"/>
            <w:vAlign w:val="center"/>
          </w:tcPr>
          <w:p w14:paraId="4E66581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新生儿筛查血斑质控品（TSH、PHE、17OHP）</w:t>
            </w:r>
          </w:p>
        </w:tc>
        <w:tc>
          <w:tcPr>
            <w:tcW w:w="1288" w:type="pct"/>
            <w:vAlign w:val="center"/>
          </w:tcPr>
          <w:p w14:paraId="1F4C747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4F7DB290">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445" w:type="pct"/>
            <w:vAlign w:val="center"/>
          </w:tcPr>
          <w:p w14:paraId="6FD63261">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60</w:t>
            </w:r>
          </w:p>
        </w:tc>
        <w:tc>
          <w:tcPr>
            <w:tcW w:w="425" w:type="pct"/>
            <w:vAlign w:val="center"/>
          </w:tcPr>
          <w:p w14:paraId="44FB5B46">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工业</w:t>
            </w:r>
          </w:p>
        </w:tc>
        <w:tc>
          <w:tcPr>
            <w:tcW w:w="616" w:type="pct"/>
            <w:vAlign w:val="center"/>
          </w:tcPr>
          <w:p w14:paraId="0197410B">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7C8D0400">
            <w:pPr>
              <w:spacing w:line="240" w:lineRule="auto"/>
              <w:jc w:val="center"/>
              <w:rPr>
                <w:rFonts w:hint="eastAsia" w:ascii="宋体" w:hAnsi="宋体" w:eastAsia="宋体" w:cs="宋体"/>
                <w:bCs/>
                <w:color w:val="auto"/>
                <w:sz w:val="21"/>
                <w:szCs w:val="21"/>
                <w:highlight w:val="none"/>
              </w:rPr>
            </w:pPr>
          </w:p>
        </w:tc>
      </w:tr>
      <w:tr w14:paraId="557C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0680872A">
            <w:pPr>
              <w:widowControl/>
              <w:spacing w:beforeLines="0" w:afterLines="0" w:line="240" w:lineRule="auto"/>
              <w:jc w:val="center"/>
              <w:rPr>
                <w:rFonts w:hint="eastAsia" w:ascii="宋体" w:hAnsi="宋体" w:eastAsia="宋体" w:cs="宋体"/>
                <w:color w:val="auto"/>
                <w:sz w:val="21"/>
                <w:szCs w:val="21"/>
                <w:highlight w:val="none"/>
              </w:rPr>
            </w:pPr>
            <w:bookmarkStart w:id="4" w:name="_Toc18135"/>
            <w:bookmarkStart w:id="5" w:name="_Toc16712"/>
            <w:r>
              <w:rPr>
                <w:rFonts w:hint="eastAsia" w:ascii="宋体" w:hAnsi="宋体" w:eastAsia="宋体" w:cs="宋体"/>
                <w:color w:val="000000"/>
                <w:kern w:val="0"/>
                <w:sz w:val="21"/>
                <w:szCs w:val="21"/>
              </w:rPr>
              <w:t>11</w:t>
            </w:r>
          </w:p>
        </w:tc>
        <w:tc>
          <w:tcPr>
            <w:tcW w:w="904" w:type="pct"/>
            <w:vAlign w:val="center"/>
          </w:tcPr>
          <w:p w14:paraId="7ECD1F0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新生儿筛查血斑质控品（AA，AC）</w:t>
            </w:r>
          </w:p>
        </w:tc>
        <w:tc>
          <w:tcPr>
            <w:tcW w:w="1288" w:type="pct"/>
            <w:vAlign w:val="center"/>
          </w:tcPr>
          <w:p w14:paraId="6A9C795C">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1F65EC6E">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套</w:t>
            </w:r>
          </w:p>
        </w:tc>
        <w:tc>
          <w:tcPr>
            <w:tcW w:w="445" w:type="pct"/>
            <w:vAlign w:val="center"/>
          </w:tcPr>
          <w:p w14:paraId="682B2AC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25</w:t>
            </w:r>
          </w:p>
        </w:tc>
        <w:tc>
          <w:tcPr>
            <w:tcW w:w="425" w:type="pct"/>
            <w:vAlign w:val="center"/>
          </w:tcPr>
          <w:p w14:paraId="03346C4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7A60D004">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FA3CC97">
            <w:pPr>
              <w:spacing w:line="240" w:lineRule="auto"/>
              <w:jc w:val="center"/>
              <w:rPr>
                <w:rFonts w:hint="eastAsia" w:ascii="宋体" w:hAnsi="宋体" w:eastAsia="宋体" w:cs="宋体"/>
                <w:bCs/>
                <w:color w:val="auto"/>
                <w:sz w:val="21"/>
                <w:szCs w:val="21"/>
                <w:highlight w:val="none"/>
              </w:rPr>
            </w:pPr>
          </w:p>
        </w:tc>
      </w:tr>
      <w:tr w14:paraId="434D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243C8178">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12</w:t>
            </w:r>
          </w:p>
        </w:tc>
        <w:tc>
          <w:tcPr>
            <w:tcW w:w="904" w:type="pct"/>
            <w:vAlign w:val="center"/>
          </w:tcPr>
          <w:p w14:paraId="418C89E1">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bidi="ar"/>
              </w:rPr>
              <w:t>GSP测试试剂盒</w:t>
            </w:r>
          </w:p>
        </w:tc>
        <w:tc>
          <w:tcPr>
            <w:tcW w:w="1288" w:type="pct"/>
            <w:vAlign w:val="center"/>
          </w:tcPr>
          <w:p w14:paraId="23B0E79C">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481CB7E9">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盒</w:t>
            </w:r>
          </w:p>
        </w:tc>
        <w:tc>
          <w:tcPr>
            <w:tcW w:w="445" w:type="pct"/>
            <w:vAlign w:val="center"/>
          </w:tcPr>
          <w:p w14:paraId="4DA499C2">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rPr>
              <w:t>2</w:t>
            </w:r>
          </w:p>
        </w:tc>
        <w:tc>
          <w:tcPr>
            <w:tcW w:w="425" w:type="pct"/>
            <w:vAlign w:val="center"/>
          </w:tcPr>
          <w:p w14:paraId="1EC1657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447D79B0">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0AEED390">
            <w:pPr>
              <w:spacing w:line="240" w:lineRule="auto"/>
              <w:jc w:val="center"/>
              <w:rPr>
                <w:rFonts w:hint="eastAsia" w:ascii="宋体" w:hAnsi="宋体" w:eastAsia="宋体" w:cs="宋体"/>
                <w:bCs/>
                <w:color w:val="auto"/>
                <w:sz w:val="21"/>
                <w:szCs w:val="21"/>
                <w:highlight w:val="none"/>
              </w:rPr>
            </w:pPr>
          </w:p>
        </w:tc>
      </w:tr>
      <w:tr w14:paraId="3343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7B296553">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13</w:t>
            </w:r>
          </w:p>
        </w:tc>
        <w:tc>
          <w:tcPr>
            <w:tcW w:w="904" w:type="pct"/>
            <w:vAlign w:val="center"/>
          </w:tcPr>
          <w:p w14:paraId="45E57AD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不锈钢毛细管</w:t>
            </w:r>
          </w:p>
        </w:tc>
        <w:tc>
          <w:tcPr>
            <w:tcW w:w="1288" w:type="pct"/>
            <w:vAlign w:val="center"/>
          </w:tcPr>
          <w:p w14:paraId="794A5A9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5DBCBC82">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5111087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w:t>
            </w:r>
          </w:p>
        </w:tc>
        <w:tc>
          <w:tcPr>
            <w:tcW w:w="425" w:type="pct"/>
            <w:vAlign w:val="center"/>
          </w:tcPr>
          <w:p w14:paraId="30F3A20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26A1E73E">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0463C56C">
            <w:pPr>
              <w:spacing w:line="240" w:lineRule="auto"/>
              <w:jc w:val="center"/>
              <w:rPr>
                <w:rFonts w:hint="eastAsia" w:ascii="宋体" w:hAnsi="宋体" w:eastAsia="宋体" w:cs="宋体"/>
                <w:bCs/>
                <w:color w:val="auto"/>
                <w:sz w:val="21"/>
                <w:szCs w:val="21"/>
                <w:highlight w:val="none"/>
              </w:rPr>
            </w:pPr>
          </w:p>
        </w:tc>
      </w:tr>
      <w:tr w14:paraId="27B7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7418B389">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14</w:t>
            </w:r>
          </w:p>
        </w:tc>
        <w:tc>
          <w:tcPr>
            <w:tcW w:w="904" w:type="pct"/>
            <w:vAlign w:val="center"/>
          </w:tcPr>
          <w:p w14:paraId="2813BDD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PTFE衬管</w:t>
            </w:r>
          </w:p>
        </w:tc>
        <w:tc>
          <w:tcPr>
            <w:tcW w:w="1288" w:type="pct"/>
            <w:vAlign w:val="center"/>
          </w:tcPr>
          <w:p w14:paraId="5F9BF91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40C339E5">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3856CBD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10</w:t>
            </w:r>
          </w:p>
        </w:tc>
        <w:tc>
          <w:tcPr>
            <w:tcW w:w="425" w:type="pct"/>
            <w:vAlign w:val="center"/>
          </w:tcPr>
          <w:p w14:paraId="2C7D5C1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3AE193FA">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02456FB">
            <w:pPr>
              <w:spacing w:line="240" w:lineRule="auto"/>
              <w:jc w:val="center"/>
              <w:rPr>
                <w:rFonts w:hint="eastAsia" w:ascii="宋体" w:hAnsi="宋体" w:eastAsia="宋体" w:cs="宋体"/>
                <w:bCs/>
                <w:color w:val="auto"/>
                <w:sz w:val="21"/>
                <w:szCs w:val="21"/>
                <w:highlight w:val="none"/>
              </w:rPr>
            </w:pPr>
          </w:p>
        </w:tc>
      </w:tr>
      <w:tr w14:paraId="5F44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22E802E6">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15</w:t>
            </w:r>
          </w:p>
        </w:tc>
        <w:tc>
          <w:tcPr>
            <w:tcW w:w="904" w:type="pct"/>
            <w:vAlign w:val="center"/>
          </w:tcPr>
          <w:p w14:paraId="4585373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石墨套圈</w:t>
            </w:r>
          </w:p>
        </w:tc>
        <w:tc>
          <w:tcPr>
            <w:tcW w:w="1288" w:type="pct"/>
            <w:vAlign w:val="center"/>
          </w:tcPr>
          <w:p w14:paraId="3E45797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6D8F5806">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1E2183C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w:t>
            </w:r>
          </w:p>
        </w:tc>
        <w:tc>
          <w:tcPr>
            <w:tcW w:w="425" w:type="pct"/>
            <w:vAlign w:val="center"/>
          </w:tcPr>
          <w:p w14:paraId="50AC729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2AD8D3B1">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05D9735B">
            <w:pPr>
              <w:spacing w:line="240" w:lineRule="auto"/>
              <w:jc w:val="center"/>
              <w:rPr>
                <w:rFonts w:hint="eastAsia" w:ascii="宋体" w:hAnsi="宋体" w:eastAsia="宋体" w:cs="宋体"/>
                <w:bCs/>
                <w:color w:val="auto"/>
                <w:sz w:val="21"/>
                <w:szCs w:val="21"/>
                <w:highlight w:val="none"/>
              </w:rPr>
            </w:pPr>
          </w:p>
        </w:tc>
      </w:tr>
      <w:tr w14:paraId="00D7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0EB906B3">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16</w:t>
            </w:r>
          </w:p>
        </w:tc>
        <w:tc>
          <w:tcPr>
            <w:tcW w:w="904" w:type="pct"/>
            <w:vAlign w:val="center"/>
          </w:tcPr>
          <w:p w14:paraId="1F5D057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进样针密封圈</w:t>
            </w:r>
          </w:p>
        </w:tc>
        <w:tc>
          <w:tcPr>
            <w:tcW w:w="1288" w:type="pct"/>
            <w:vAlign w:val="center"/>
          </w:tcPr>
          <w:p w14:paraId="27C8CF9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0CAF474C">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4293C22F">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w:t>
            </w:r>
          </w:p>
        </w:tc>
        <w:tc>
          <w:tcPr>
            <w:tcW w:w="425" w:type="pct"/>
            <w:vAlign w:val="center"/>
          </w:tcPr>
          <w:p w14:paraId="213569F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77080D69">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4B5DD644">
            <w:pPr>
              <w:spacing w:line="240" w:lineRule="auto"/>
              <w:jc w:val="center"/>
              <w:rPr>
                <w:rFonts w:hint="eastAsia" w:ascii="宋体" w:hAnsi="宋体" w:eastAsia="宋体" w:cs="宋体"/>
                <w:bCs/>
                <w:color w:val="auto"/>
                <w:sz w:val="21"/>
                <w:szCs w:val="21"/>
                <w:highlight w:val="none"/>
              </w:rPr>
            </w:pPr>
          </w:p>
        </w:tc>
      </w:tr>
      <w:tr w14:paraId="1D0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2875F818">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17</w:t>
            </w:r>
          </w:p>
        </w:tc>
        <w:tc>
          <w:tcPr>
            <w:tcW w:w="904" w:type="pct"/>
            <w:vAlign w:val="center"/>
          </w:tcPr>
          <w:p w14:paraId="4E7FD049">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泵油</w:t>
            </w:r>
          </w:p>
        </w:tc>
        <w:tc>
          <w:tcPr>
            <w:tcW w:w="1288" w:type="pct"/>
            <w:vAlign w:val="center"/>
          </w:tcPr>
          <w:p w14:paraId="1D5D4B5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01D3DA04">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瓶</w:t>
            </w:r>
          </w:p>
        </w:tc>
        <w:tc>
          <w:tcPr>
            <w:tcW w:w="445" w:type="pct"/>
            <w:vAlign w:val="center"/>
          </w:tcPr>
          <w:p w14:paraId="3BB155C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w:t>
            </w:r>
          </w:p>
        </w:tc>
        <w:tc>
          <w:tcPr>
            <w:tcW w:w="425" w:type="pct"/>
            <w:vAlign w:val="center"/>
          </w:tcPr>
          <w:p w14:paraId="7CC3D2C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7FB20410">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51C57EC">
            <w:pPr>
              <w:spacing w:line="240" w:lineRule="auto"/>
              <w:jc w:val="center"/>
              <w:rPr>
                <w:rFonts w:hint="eastAsia" w:ascii="宋体" w:hAnsi="宋体" w:eastAsia="宋体" w:cs="宋体"/>
                <w:bCs/>
                <w:color w:val="auto"/>
                <w:sz w:val="21"/>
                <w:szCs w:val="21"/>
                <w:highlight w:val="none"/>
              </w:rPr>
            </w:pPr>
          </w:p>
        </w:tc>
      </w:tr>
      <w:tr w14:paraId="0877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38D9AE94">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18</w:t>
            </w:r>
          </w:p>
        </w:tc>
        <w:tc>
          <w:tcPr>
            <w:tcW w:w="904" w:type="pct"/>
            <w:vAlign w:val="center"/>
          </w:tcPr>
          <w:p w14:paraId="15FDF3A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过滤膜</w:t>
            </w:r>
          </w:p>
        </w:tc>
        <w:tc>
          <w:tcPr>
            <w:tcW w:w="1288" w:type="pct"/>
            <w:vAlign w:val="center"/>
          </w:tcPr>
          <w:p w14:paraId="3835217E">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70EB43FC">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7F67BB6C">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50</w:t>
            </w:r>
          </w:p>
        </w:tc>
        <w:tc>
          <w:tcPr>
            <w:tcW w:w="425" w:type="pct"/>
            <w:vAlign w:val="center"/>
          </w:tcPr>
          <w:p w14:paraId="5B4332D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0972FDF6">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70EA26A6">
            <w:pPr>
              <w:spacing w:line="240" w:lineRule="auto"/>
              <w:jc w:val="center"/>
              <w:rPr>
                <w:rFonts w:hint="eastAsia" w:ascii="宋体" w:hAnsi="宋体" w:eastAsia="宋体" w:cs="宋体"/>
                <w:bCs/>
                <w:color w:val="auto"/>
                <w:sz w:val="21"/>
                <w:szCs w:val="21"/>
                <w:highlight w:val="none"/>
              </w:rPr>
            </w:pPr>
          </w:p>
        </w:tc>
      </w:tr>
      <w:tr w14:paraId="30B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54888B5B">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19</w:t>
            </w:r>
          </w:p>
        </w:tc>
        <w:tc>
          <w:tcPr>
            <w:tcW w:w="904" w:type="pct"/>
            <w:vAlign w:val="center"/>
          </w:tcPr>
          <w:p w14:paraId="1319958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lang w:bidi="ar"/>
              </w:rPr>
              <w:t>柱塞杆密封</w:t>
            </w:r>
          </w:p>
        </w:tc>
        <w:tc>
          <w:tcPr>
            <w:tcW w:w="1288" w:type="pct"/>
            <w:vAlign w:val="center"/>
          </w:tcPr>
          <w:p w14:paraId="16D2B408">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446D8AC3">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581CBCEF">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2</w:t>
            </w:r>
          </w:p>
        </w:tc>
        <w:tc>
          <w:tcPr>
            <w:tcW w:w="425" w:type="pct"/>
            <w:vAlign w:val="center"/>
          </w:tcPr>
          <w:p w14:paraId="709EE60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42CDA732">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24CC55B1">
            <w:pPr>
              <w:spacing w:line="240" w:lineRule="auto"/>
              <w:jc w:val="center"/>
              <w:rPr>
                <w:rFonts w:hint="eastAsia" w:ascii="宋体" w:hAnsi="宋体" w:eastAsia="宋体" w:cs="宋体"/>
                <w:bCs/>
                <w:color w:val="auto"/>
                <w:sz w:val="21"/>
                <w:szCs w:val="21"/>
                <w:highlight w:val="none"/>
              </w:rPr>
            </w:pPr>
          </w:p>
        </w:tc>
      </w:tr>
      <w:tr w14:paraId="7FB7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102138FA">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20</w:t>
            </w:r>
          </w:p>
        </w:tc>
        <w:tc>
          <w:tcPr>
            <w:tcW w:w="904" w:type="pct"/>
            <w:vAlign w:val="center"/>
          </w:tcPr>
          <w:p w14:paraId="07D1C1F7">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lang w:bidi="ar"/>
              </w:rPr>
              <w:t>密封管路</w:t>
            </w:r>
          </w:p>
        </w:tc>
        <w:tc>
          <w:tcPr>
            <w:tcW w:w="1288" w:type="pct"/>
            <w:vAlign w:val="center"/>
          </w:tcPr>
          <w:p w14:paraId="4BCAB5A9">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4B1D179C">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3867B641">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6E92108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154EFCB3">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2250592">
            <w:pPr>
              <w:spacing w:line="240" w:lineRule="auto"/>
              <w:jc w:val="center"/>
              <w:rPr>
                <w:rFonts w:hint="eastAsia" w:ascii="宋体" w:hAnsi="宋体" w:eastAsia="宋体" w:cs="宋体"/>
                <w:bCs/>
                <w:color w:val="auto"/>
                <w:sz w:val="21"/>
                <w:szCs w:val="21"/>
                <w:highlight w:val="none"/>
              </w:rPr>
            </w:pPr>
          </w:p>
        </w:tc>
      </w:tr>
      <w:tr w14:paraId="3FDA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6331F1EB">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21</w:t>
            </w:r>
          </w:p>
        </w:tc>
        <w:tc>
          <w:tcPr>
            <w:tcW w:w="904" w:type="pct"/>
            <w:vAlign w:val="center"/>
          </w:tcPr>
          <w:p w14:paraId="55965332">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lang w:bidi="ar"/>
              </w:rPr>
              <w:t>进样针导槽</w:t>
            </w:r>
          </w:p>
        </w:tc>
        <w:tc>
          <w:tcPr>
            <w:tcW w:w="1288" w:type="pct"/>
            <w:vAlign w:val="center"/>
          </w:tcPr>
          <w:p w14:paraId="1ED1F38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235EC890">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6C4D7384">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4A0BE2D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2CE1AC0D">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31320E9A">
            <w:pPr>
              <w:spacing w:line="240" w:lineRule="auto"/>
              <w:jc w:val="center"/>
              <w:rPr>
                <w:rFonts w:hint="eastAsia" w:ascii="宋体" w:hAnsi="宋体" w:eastAsia="宋体" w:cs="宋体"/>
                <w:bCs/>
                <w:color w:val="auto"/>
                <w:sz w:val="21"/>
                <w:szCs w:val="21"/>
                <w:highlight w:val="none"/>
              </w:rPr>
            </w:pPr>
          </w:p>
        </w:tc>
      </w:tr>
      <w:tr w14:paraId="0E07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79A16AF2">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22</w:t>
            </w:r>
          </w:p>
        </w:tc>
        <w:tc>
          <w:tcPr>
            <w:tcW w:w="904" w:type="pct"/>
            <w:vAlign w:val="center"/>
          </w:tcPr>
          <w:p w14:paraId="5380D4B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kern w:val="0"/>
                <w:sz w:val="21"/>
                <w:szCs w:val="21"/>
                <w:lang w:bidi="ar"/>
              </w:rPr>
              <w:t>样品锥孔</w:t>
            </w:r>
          </w:p>
        </w:tc>
        <w:tc>
          <w:tcPr>
            <w:tcW w:w="1288" w:type="pct"/>
            <w:vAlign w:val="center"/>
          </w:tcPr>
          <w:p w14:paraId="5A29C8F8">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622685AA">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733119B1">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597B3EA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6A28CF25">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3B9C4886">
            <w:pPr>
              <w:spacing w:line="240" w:lineRule="auto"/>
              <w:jc w:val="center"/>
              <w:rPr>
                <w:rFonts w:hint="eastAsia" w:ascii="宋体" w:hAnsi="宋体" w:eastAsia="宋体" w:cs="宋体"/>
                <w:bCs/>
                <w:color w:val="auto"/>
                <w:sz w:val="21"/>
                <w:szCs w:val="21"/>
                <w:highlight w:val="none"/>
              </w:rPr>
            </w:pPr>
          </w:p>
        </w:tc>
      </w:tr>
      <w:tr w14:paraId="2D83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593BE76A">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23</w:t>
            </w:r>
          </w:p>
        </w:tc>
        <w:tc>
          <w:tcPr>
            <w:tcW w:w="904" w:type="pct"/>
            <w:vAlign w:val="center"/>
          </w:tcPr>
          <w:p w14:paraId="54409EC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油雾过滤器</w:t>
            </w:r>
          </w:p>
        </w:tc>
        <w:tc>
          <w:tcPr>
            <w:tcW w:w="1288" w:type="pct"/>
            <w:vAlign w:val="center"/>
          </w:tcPr>
          <w:p w14:paraId="079BEC6C">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683B7566">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32E9FDCF">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32AC7DE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036DF046">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3DCC8F09">
            <w:pPr>
              <w:spacing w:line="240" w:lineRule="auto"/>
              <w:jc w:val="center"/>
              <w:rPr>
                <w:rFonts w:hint="eastAsia" w:ascii="宋体" w:hAnsi="宋体" w:eastAsia="宋体" w:cs="宋体"/>
                <w:bCs/>
                <w:color w:val="auto"/>
                <w:sz w:val="21"/>
                <w:szCs w:val="21"/>
                <w:highlight w:val="none"/>
              </w:rPr>
            </w:pPr>
          </w:p>
        </w:tc>
      </w:tr>
      <w:tr w14:paraId="5ABE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21BD95A1">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24</w:t>
            </w:r>
          </w:p>
        </w:tc>
        <w:tc>
          <w:tcPr>
            <w:tcW w:w="904" w:type="pct"/>
            <w:vAlign w:val="center"/>
          </w:tcPr>
          <w:p w14:paraId="5155F0D8">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前端液体过滤器</w:t>
            </w:r>
          </w:p>
        </w:tc>
        <w:tc>
          <w:tcPr>
            <w:tcW w:w="1288" w:type="pct"/>
            <w:vAlign w:val="center"/>
          </w:tcPr>
          <w:p w14:paraId="107F8B01">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3FAC645A">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31A0D8AC">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71B9367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3AD1C33F">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7E021CA9">
            <w:pPr>
              <w:spacing w:line="240" w:lineRule="auto"/>
              <w:jc w:val="center"/>
              <w:rPr>
                <w:rFonts w:hint="eastAsia" w:ascii="宋体" w:hAnsi="宋体" w:eastAsia="宋体" w:cs="宋体"/>
                <w:bCs/>
                <w:color w:val="auto"/>
                <w:sz w:val="21"/>
                <w:szCs w:val="21"/>
                <w:highlight w:val="none"/>
              </w:rPr>
            </w:pPr>
          </w:p>
        </w:tc>
      </w:tr>
      <w:tr w14:paraId="17AE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020D2A13">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25</w:t>
            </w:r>
          </w:p>
        </w:tc>
        <w:tc>
          <w:tcPr>
            <w:tcW w:w="904" w:type="pct"/>
            <w:vAlign w:val="center"/>
          </w:tcPr>
          <w:p w14:paraId="4FE5F0C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液体过滤器</w:t>
            </w:r>
          </w:p>
        </w:tc>
        <w:tc>
          <w:tcPr>
            <w:tcW w:w="1288" w:type="pct"/>
            <w:vAlign w:val="center"/>
          </w:tcPr>
          <w:p w14:paraId="6DC78555">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08D2C578">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787FCA49">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2E71DE3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3D5B7CAC">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465588BF">
            <w:pPr>
              <w:spacing w:line="240" w:lineRule="auto"/>
              <w:jc w:val="center"/>
              <w:rPr>
                <w:rFonts w:hint="eastAsia" w:ascii="宋体" w:hAnsi="宋体" w:eastAsia="宋体" w:cs="宋体"/>
                <w:bCs/>
                <w:color w:val="auto"/>
                <w:sz w:val="21"/>
                <w:szCs w:val="21"/>
                <w:highlight w:val="none"/>
              </w:rPr>
            </w:pPr>
          </w:p>
        </w:tc>
      </w:tr>
      <w:tr w14:paraId="19F6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41F1A86E">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26</w:t>
            </w:r>
          </w:p>
        </w:tc>
        <w:tc>
          <w:tcPr>
            <w:tcW w:w="904" w:type="pct"/>
            <w:vAlign w:val="center"/>
          </w:tcPr>
          <w:p w14:paraId="42A571E2">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高精度注射器（250ul）</w:t>
            </w:r>
          </w:p>
        </w:tc>
        <w:tc>
          <w:tcPr>
            <w:tcW w:w="1288" w:type="pct"/>
            <w:vAlign w:val="center"/>
          </w:tcPr>
          <w:p w14:paraId="3FE6E962">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74230449">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24C3FEF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61C9660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1F18FB7F">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1F8A61F9">
            <w:pPr>
              <w:spacing w:line="240" w:lineRule="auto"/>
              <w:jc w:val="center"/>
              <w:rPr>
                <w:rFonts w:hint="eastAsia" w:ascii="宋体" w:hAnsi="宋体" w:eastAsia="宋体" w:cs="宋体"/>
                <w:bCs/>
                <w:color w:val="auto"/>
                <w:sz w:val="21"/>
                <w:szCs w:val="21"/>
                <w:highlight w:val="none"/>
              </w:rPr>
            </w:pPr>
          </w:p>
        </w:tc>
      </w:tr>
      <w:tr w14:paraId="3FB2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25741879">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27</w:t>
            </w:r>
          </w:p>
        </w:tc>
        <w:tc>
          <w:tcPr>
            <w:tcW w:w="904" w:type="pct"/>
            <w:vAlign w:val="center"/>
          </w:tcPr>
          <w:p w14:paraId="1CEC2B9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空气过滤器</w:t>
            </w:r>
          </w:p>
        </w:tc>
        <w:tc>
          <w:tcPr>
            <w:tcW w:w="1288" w:type="pct"/>
            <w:vAlign w:val="center"/>
          </w:tcPr>
          <w:p w14:paraId="171F168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287A2716">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085C553E">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36AB654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14F7DFA8">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790BA3F4">
            <w:pPr>
              <w:spacing w:line="240" w:lineRule="auto"/>
              <w:jc w:val="center"/>
              <w:rPr>
                <w:rFonts w:hint="eastAsia" w:ascii="宋体" w:hAnsi="宋体" w:eastAsia="宋体" w:cs="宋体"/>
                <w:bCs/>
                <w:color w:val="auto"/>
                <w:sz w:val="21"/>
                <w:szCs w:val="21"/>
                <w:highlight w:val="none"/>
              </w:rPr>
            </w:pPr>
          </w:p>
        </w:tc>
      </w:tr>
      <w:tr w14:paraId="0538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6E4BF376">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28</w:t>
            </w:r>
          </w:p>
        </w:tc>
        <w:tc>
          <w:tcPr>
            <w:tcW w:w="904" w:type="pct"/>
            <w:vAlign w:val="center"/>
          </w:tcPr>
          <w:p w14:paraId="72037D32">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正压过滤器</w:t>
            </w:r>
          </w:p>
        </w:tc>
        <w:tc>
          <w:tcPr>
            <w:tcW w:w="1288" w:type="pct"/>
            <w:vAlign w:val="center"/>
          </w:tcPr>
          <w:p w14:paraId="2AB481E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00DFA8BD">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1BF800F0">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5B35E22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4015B6C9">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367FD6EF">
            <w:pPr>
              <w:spacing w:line="240" w:lineRule="auto"/>
              <w:jc w:val="center"/>
              <w:rPr>
                <w:rFonts w:hint="eastAsia" w:ascii="宋体" w:hAnsi="宋体" w:eastAsia="宋体" w:cs="宋体"/>
                <w:bCs/>
                <w:color w:val="auto"/>
                <w:sz w:val="21"/>
                <w:szCs w:val="21"/>
                <w:highlight w:val="none"/>
              </w:rPr>
            </w:pPr>
          </w:p>
        </w:tc>
      </w:tr>
      <w:tr w14:paraId="2931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5A77565D">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29</w:t>
            </w:r>
          </w:p>
        </w:tc>
        <w:tc>
          <w:tcPr>
            <w:tcW w:w="904" w:type="pct"/>
            <w:vAlign w:val="center"/>
          </w:tcPr>
          <w:p w14:paraId="49B13E8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负压过滤器</w:t>
            </w:r>
          </w:p>
        </w:tc>
        <w:tc>
          <w:tcPr>
            <w:tcW w:w="1288" w:type="pct"/>
            <w:vAlign w:val="center"/>
          </w:tcPr>
          <w:p w14:paraId="6EF560E6">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60B83689">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74757CEB">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2C35BDC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11B66E8B">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2638E835">
            <w:pPr>
              <w:spacing w:line="240" w:lineRule="auto"/>
              <w:jc w:val="center"/>
              <w:rPr>
                <w:rFonts w:hint="eastAsia" w:ascii="宋体" w:hAnsi="宋体" w:eastAsia="宋体" w:cs="宋体"/>
                <w:bCs/>
                <w:color w:val="auto"/>
                <w:sz w:val="21"/>
                <w:szCs w:val="21"/>
                <w:highlight w:val="none"/>
              </w:rPr>
            </w:pPr>
          </w:p>
        </w:tc>
      </w:tr>
      <w:tr w14:paraId="272D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46CACD07">
            <w:pPr>
              <w:widowControl/>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rPr>
              <w:t>30</w:t>
            </w:r>
          </w:p>
        </w:tc>
        <w:tc>
          <w:tcPr>
            <w:tcW w:w="904" w:type="pct"/>
            <w:vAlign w:val="center"/>
          </w:tcPr>
          <w:p w14:paraId="2695E40D">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支撑杆</w:t>
            </w:r>
          </w:p>
        </w:tc>
        <w:tc>
          <w:tcPr>
            <w:tcW w:w="1288" w:type="pct"/>
            <w:vAlign w:val="center"/>
          </w:tcPr>
          <w:p w14:paraId="2A79E7B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rPr>
              <w:t>配套辅助耗材</w:t>
            </w:r>
          </w:p>
        </w:tc>
        <w:tc>
          <w:tcPr>
            <w:tcW w:w="525" w:type="pct"/>
            <w:vAlign w:val="center"/>
          </w:tcPr>
          <w:p w14:paraId="3EEE6FEA">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根</w:t>
            </w:r>
          </w:p>
        </w:tc>
        <w:tc>
          <w:tcPr>
            <w:tcW w:w="445" w:type="pct"/>
            <w:vAlign w:val="center"/>
          </w:tcPr>
          <w:p w14:paraId="2FF4BFCA">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70C48A7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411254AC">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64E48790">
            <w:pPr>
              <w:spacing w:line="240" w:lineRule="auto"/>
              <w:jc w:val="center"/>
              <w:rPr>
                <w:rFonts w:hint="eastAsia" w:ascii="宋体" w:hAnsi="宋体" w:eastAsia="宋体" w:cs="宋体"/>
                <w:bCs/>
                <w:color w:val="auto"/>
                <w:sz w:val="21"/>
                <w:szCs w:val="21"/>
                <w:highlight w:val="none"/>
              </w:rPr>
            </w:pPr>
          </w:p>
        </w:tc>
      </w:tr>
      <w:tr w14:paraId="1D5F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7" w:type="pct"/>
            <w:vAlign w:val="center"/>
          </w:tcPr>
          <w:p w14:paraId="0C187DBC">
            <w:pPr>
              <w:widowControl/>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904" w:type="pct"/>
            <w:vAlign w:val="center"/>
          </w:tcPr>
          <w:p w14:paraId="5C151B62">
            <w:pPr>
              <w:widowControl/>
              <w:spacing w:beforeLines="0" w:afterLines="0" w:line="240" w:lineRule="auto"/>
              <w:jc w:val="center"/>
              <w:rPr>
                <w:rFonts w:hint="eastAsia" w:ascii="宋体" w:hAnsi="宋体" w:eastAsia="宋体" w:cs="宋体"/>
                <w:sz w:val="21"/>
                <w:szCs w:val="21"/>
              </w:rPr>
            </w:pPr>
            <w:r>
              <w:rPr>
                <w:rFonts w:hint="eastAsia" w:ascii="宋体" w:hAnsi="宋体" w:eastAsia="宋体" w:cs="宋体"/>
                <w:sz w:val="21"/>
                <w:szCs w:val="21"/>
              </w:rPr>
              <w:t>打孔头冲头</w:t>
            </w:r>
          </w:p>
        </w:tc>
        <w:tc>
          <w:tcPr>
            <w:tcW w:w="1288" w:type="pct"/>
            <w:vAlign w:val="center"/>
          </w:tcPr>
          <w:p w14:paraId="474B8AFB">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配套辅助耗材</w:t>
            </w:r>
          </w:p>
        </w:tc>
        <w:tc>
          <w:tcPr>
            <w:tcW w:w="525" w:type="pct"/>
            <w:vAlign w:val="center"/>
          </w:tcPr>
          <w:p w14:paraId="23119D1E">
            <w:pPr>
              <w:widowControl/>
              <w:spacing w:beforeLines="0" w:afterLines="0" w:line="240" w:lineRule="auto"/>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个</w:t>
            </w:r>
          </w:p>
        </w:tc>
        <w:tc>
          <w:tcPr>
            <w:tcW w:w="445" w:type="pct"/>
            <w:vAlign w:val="center"/>
          </w:tcPr>
          <w:p w14:paraId="123E73F3">
            <w:pPr>
              <w:widowControl/>
              <w:spacing w:beforeLines="0" w:afterLines="0"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000000"/>
                <w:kern w:val="0"/>
                <w:sz w:val="21"/>
                <w:szCs w:val="21"/>
              </w:rPr>
              <w:t>1</w:t>
            </w:r>
          </w:p>
        </w:tc>
        <w:tc>
          <w:tcPr>
            <w:tcW w:w="425" w:type="pct"/>
            <w:vAlign w:val="center"/>
          </w:tcPr>
          <w:p w14:paraId="309D156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工业</w:t>
            </w:r>
          </w:p>
        </w:tc>
        <w:tc>
          <w:tcPr>
            <w:tcW w:w="616" w:type="pct"/>
            <w:vAlign w:val="center"/>
          </w:tcPr>
          <w:p w14:paraId="38265A65">
            <w:pPr>
              <w:spacing w:line="240" w:lineRule="auto"/>
              <w:jc w:val="center"/>
              <w:rPr>
                <w:rFonts w:hint="eastAsia" w:ascii="宋体" w:hAnsi="宋体" w:eastAsia="宋体" w:cs="宋体"/>
                <w:bCs/>
                <w:color w:val="auto"/>
                <w:sz w:val="21"/>
                <w:szCs w:val="21"/>
                <w:highlight w:val="none"/>
              </w:rPr>
            </w:pPr>
          </w:p>
        </w:tc>
        <w:tc>
          <w:tcPr>
            <w:tcW w:w="457" w:type="pct"/>
            <w:vAlign w:val="center"/>
          </w:tcPr>
          <w:p w14:paraId="4970009E">
            <w:pPr>
              <w:spacing w:line="240" w:lineRule="auto"/>
              <w:jc w:val="center"/>
              <w:rPr>
                <w:rFonts w:hint="eastAsia" w:ascii="宋体" w:hAnsi="宋体" w:eastAsia="宋体" w:cs="宋体"/>
                <w:bCs/>
                <w:color w:val="auto"/>
                <w:sz w:val="21"/>
                <w:szCs w:val="21"/>
                <w:highlight w:val="none"/>
              </w:rPr>
            </w:pPr>
          </w:p>
        </w:tc>
      </w:tr>
      <w:tr w14:paraId="7B2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110A49C">
            <w:pPr>
              <w:pageBreakBefore w:val="0"/>
              <w:widowControl/>
              <w:kinsoku/>
              <w:overflowPunct/>
              <w:topLinePunct w:val="0"/>
              <w:bidi w:val="0"/>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0EEF3915">
            <w:pPr>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响应人</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文件必须标明所投货物的品牌与参数，保证原厂正品供货。</w:t>
            </w:r>
          </w:p>
          <w:p w14:paraId="13AF06EB">
            <w:pPr>
              <w:numPr>
                <w:ilvl w:val="0"/>
                <w:numId w:val="0"/>
              </w:numPr>
              <w:spacing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2、本项目主要标的为表中序号为</w:t>
            </w:r>
            <w:r>
              <w:rPr>
                <w:rFonts w:hint="eastAsia" w:ascii="宋体" w:hAnsi="宋体" w:eastAsia="宋体" w:cs="宋体"/>
                <w:b w:val="0"/>
                <w:bCs w:val="0"/>
                <w:color w:val="auto"/>
                <w:sz w:val="21"/>
                <w:szCs w:val="21"/>
                <w:highlight w:val="none"/>
                <w:u w:val="single"/>
                <w:lang w:val="en-US" w:eastAsia="zh-CN"/>
              </w:rPr>
              <w:t xml:space="preserve"> 4 </w:t>
            </w:r>
            <w:r>
              <w:rPr>
                <w:rFonts w:hint="eastAsia" w:ascii="宋体" w:hAnsi="宋体" w:eastAsia="宋体" w:cs="宋体"/>
                <w:b w:val="0"/>
                <w:bCs w:val="0"/>
                <w:color w:val="auto"/>
                <w:sz w:val="21"/>
                <w:szCs w:val="21"/>
                <w:highlight w:val="none"/>
                <w:lang w:val="en-US" w:eastAsia="zh-CN"/>
              </w:rPr>
              <w:t>的产品，主要标的名称、品牌、规格、型号、数量、单价等信息将在成交结果公告中公示。</w:t>
            </w:r>
          </w:p>
          <w:p w14:paraId="43C63614">
            <w:pPr>
              <w:pageBreakBefore w:val="0"/>
              <w:widowControl/>
              <w:kinsoku/>
              <w:overflowPunct/>
              <w:topLinePunct w:val="0"/>
              <w:bidi w:val="0"/>
              <w:snapToGrid/>
              <w:spacing w:line="360" w:lineRule="auto"/>
              <w:ind w:left="0" w:leftChars="0" w:firstLine="420" w:firstLineChars="200"/>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3、所有技术参数及要求采购人验收时将逐条核对，如发现与实际情况不符、虚假响应等，</w:t>
            </w:r>
            <w:r>
              <w:rPr>
                <w:rFonts w:hint="eastAsia" w:ascii="宋体" w:hAnsi="宋体" w:eastAsia="宋体" w:cs="宋体"/>
                <w:b w:val="0"/>
                <w:bCs w:val="0"/>
                <w:strike w:val="0"/>
                <w:dstrike w:val="0"/>
                <w:color w:val="auto"/>
                <w:sz w:val="21"/>
                <w:szCs w:val="21"/>
                <w:highlight w:val="none"/>
                <w:lang w:val="en-US" w:eastAsia="zh-CN"/>
              </w:rPr>
              <w:t>采购人有权报监管部门并追究违约责任。</w:t>
            </w:r>
          </w:p>
          <w:p w14:paraId="7ADBDB07">
            <w:pPr>
              <w:pageBreakBefore w:val="0"/>
              <w:widowControl/>
              <w:kinsoku/>
              <w:overflowPunct/>
              <w:topLinePunct w:val="0"/>
              <w:bidi w:val="0"/>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4、供应商需在合同签订后 </w:t>
            </w:r>
            <w:r>
              <w:rPr>
                <w:rFonts w:hint="default" w:ascii="宋体" w:hAnsi="宋体" w:eastAsia="宋体" w:cs="宋体"/>
                <w:b/>
                <w:bCs/>
                <w:color w:val="auto"/>
                <w:sz w:val="21"/>
                <w:szCs w:val="21"/>
                <w:highlight w:val="none"/>
                <w:lang w:val="en-US" w:eastAsia="zh-CN"/>
              </w:rPr>
              <w:t>10 个工作日内，对现有覆盖</w:t>
            </w:r>
            <w:r>
              <w:rPr>
                <w:rFonts w:hint="eastAsia" w:ascii="宋体" w:hAnsi="宋体" w:eastAsia="宋体" w:cs="宋体"/>
                <w:b/>
                <w:bCs/>
                <w:color w:val="auto"/>
                <w:sz w:val="21"/>
                <w:szCs w:val="21"/>
                <w:highlight w:val="none"/>
                <w:lang w:val="en-US" w:eastAsia="zh-CN"/>
              </w:rPr>
              <w:t>安庆</w:t>
            </w:r>
            <w:r>
              <w:rPr>
                <w:rFonts w:hint="default" w:ascii="宋体" w:hAnsi="宋体" w:eastAsia="宋体" w:cs="宋体"/>
                <w:b/>
                <w:bCs/>
                <w:color w:val="auto"/>
                <w:sz w:val="21"/>
                <w:szCs w:val="21"/>
                <w:highlight w:val="none"/>
                <w:lang w:val="en-US" w:eastAsia="zh-CN"/>
              </w:rPr>
              <w:t>市全部采样单位的新筛信息化</w:t>
            </w:r>
            <w:r>
              <w:rPr>
                <w:rFonts w:hint="eastAsia" w:ascii="宋体" w:hAnsi="宋体" w:eastAsia="宋体" w:cs="宋体"/>
                <w:b/>
                <w:bCs/>
                <w:color w:val="auto"/>
                <w:sz w:val="21"/>
                <w:szCs w:val="21"/>
                <w:highlight w:val="none"/>
                <w:lang w:val="en-US" w:eastAsia="zh-CN"/>
              </w:rPr>
              <w:t>管</w:t>
            </w:r>
            <w:r>
              <w:rPr>
                <w:rFonts w:hint="default" w:ascii="宋体" w:hAnsi="宋体" w:eastAsia="宋体" w:cs="宋体"/>
                <w:b/>
                <w:bCs/>
                <w:color w:val="auto"/>
                <w:sz w:val="21"/>
                <w:szCs w:val="21"/>
                <w:highlight w:val="none"/>
                <w:lang w:val="en-US" w:eastAsia="zh-CN"/>
              </w:rPr>
              <w:t>理系统</w:t>
            </w:r>
            <w:r>
              <w:rPr>
                <w:rFonts w:hint="eastAsia" w:ascii="宋体" w:hAnsi="宋体" w:eastAsia="宋体" w:cs="宋体"/>
                <w:b/>
                <w:bCs/>
                <w:color w:val="auto"/>
                <w:sz w:val="21"/>
                <w:szCs w:val="21"/>
                <w:highlight w:val="none"/>
                <w:lang w:val="en-US" w:eastAsia="zh-CN"/>
              </w:rPr>
              <w:t>和物流系统</w:t>
            </w:r>
            <w:r>
              <w:rPr>
                <w:rFonts w:hint="default" w:ascii="宋体" w:hAnsi="宋体" w:eastAsia="宋体" w:cs="宋体"/>
                <w:b/>
                <w:bCs/>
                <w:color w:val="auto"/>
                <w:sz w:val="21"/>
                <w:szCs w:val="21"/>
                <w:highlight w:val="none"/>
                <w:lang w:val="en-US" w:eastAsia="zh-CN"/>
              </w:rPr>
              <w:t>完成无缝对接和完全匹配</w:t>
            </w:r>
            <w:r>
              <w:rPr>
                <w:rFonts w:hint="eastAsia" w:ascii="宋体" w:hAnsi="宋体" w:eastAsia="宋体" w:cs="宋体"/>
                <w:b/>
                <w:bCs/>
                <w:color w:val="auto"/>
                <w:sz w:val="21"/>
                <w:szCs w:val="21"/>
                <w:highlight w:val="none"/>
                <w:lang w:val="en-US" w:eastAsia="zh-CN"/>
              </w:rPr>
              <w:t>。</w:t>
            </w:r>
          </w:p>
          <w:p w14:paraId="3AD9FF60">
            <w:pPr>
              <w:numPr>
                <w:ilvl w:val="0"/>
                <w:numId w:val="0"/>
              </w:numPr>
              <w:spacing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5、响应人应按照谈判文件要求提供证明材料（如有）。若响应人提供了竞争性谈判文件未要求的证明材料，谈判小组将不予评审。</w:t>
            </w:r>
          </w:p>
          <w:p w14:paraId="66C5325C">
            <w:pPr>
              <w:numPr>
                <w:ilvl w:val="0"/>
                <w:numId w:val="0"/>
              </w:numPr>
              <w:spacing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6、响应人提供的证明材料须清晰的反映评审内容，如因材料模糊不清，导致谈判小组无法辨认的，谈判小组可以不予认可，一切后果由响应人自行承担。</w:t>
            </w:r>
          </w:p>
          <w:p w14:paraId="073C448F">
            <w:pPr>
              <w:numPr>
                <w:ilvl w:val="0"/>
                <w:numId w:val="0"/>
              </w:numPr>
              <w:spacing w:line="360" w:lineRule="auto"/>
              <w:ind w:left="0" w:leftChars="0"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t>7、本次采购最高谈判限价：人民币叁佰陆拾万元整（￥3600000.00元）</w:t>
            </w:r>
          </w:p>
        </w:tc>
      </w:tr>
      <w:bookmarkEnd w:id="4"/>
      <w:bookmarkEnd w:id="5"/>
    </w:tbl>
    <w:p w14:paraId="526ABB2C">
      <w:pPr>
        <w:spacing w:line="360" w:lineRule="auto"/>
        <w:ind w:left="0" w:leftChars="0"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rPr>
        <w:t>附件（一）：GSP 苯丙氨酸测定试剂盒（荧光法）技术参数</w:t>
      </w:r>
    </w:p>
    <w:p w14:paraId="7F5BB774">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1、试剂方法学：荧光法；</w:t>
      </w:r>
    </w:p>
    <w:p w14:paraId="1C093FBB">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2、产品用途：用于定量测定干血斑滤纸片中苯丙氨酸含量；</w:t>
      </w:r>
    </w:p>
    <w:p w14:paraId="04A07BFF">
      <w:pPr>
        <w:spacing w:line="360" w:lineRule="auto"/>
        <w:ind w:left="0" w:leftChars="0"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3、试剂适用于</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人现有的PerkinElmer</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2021-0010型全自动荧光免疫分析仪；</w:t>
      </w:r>
      <w:r>
        <w:rPr>
          <w:rFonts w:hint="eastAsia" w:ascii="宋体" w:hAnsi="宋体" w:eastAsia="宋体" w:cs="宋体"/>
          <w:b/>
          <w:bCs/>
          <w:color w:val="auto"/>
          <w:sz w:val="21"/>
          <w:szCs w:val="21"/>
        </w:rPr>
        <w:t>(</w:t>
      </w:r>
      <w:r>
        <w:rPr>
          <w:rFonts w:hint="eastAsia" w:ascii="Times New Roman" w:hAnsi="@仿宋_GB2312" w:eastAsia="宋体" w:cs="@仿宋_GB2312"/>
          <w:b/>
          <w:bCs/>
          <w:color w:val="auto"/>
          <w:szCs w:val="20"/>
          <w:lang w:val="en-US" w:eastAsia="zh-CN"/>
        </w:rPr>
        <w:t>响应文件中提供药品监督管理部门批准盖章的试剂说明书证明</w:t>
      </w:r>
      <w:r>
        <w:rPr>
          <w:rFonts w:hint="eastAsia" w:ascii="宋体" w:hAnsi="宋体" w:eastAsia="宋体" w:cs="宋体"/>
          <w:b/>
          <w:bCs/>
          <w:color w:val="auto"/>
          <w:sz w:val="21"/>
          <w:szCs w:val="21"/>
        </w:rPr>
        <w:t>)</w:t>
      </w:r>
    </w:p>
    <w:p w14:paraId="2AD19C4F">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4、试剂需具备唯一识别的条形码及备用的微孔板条形码标签，在实验中依据此标签进行智能匹配；</w:t>
      </w:r>
    </w:p>
    <w:p w14:paraId="1B3C1793">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5、所投试剂经严格合规的精密度验证（依据NCCLS文件EP5-A2，使用三个试剂盒批号和3台仪器，运行20天以上），24小时内使用一条校准曲线得出的24小时有效精密度应达到：批内偏差CV≤20%、批间偏差：CV≤15%；</w:t>
      </w:r>
    </w:p>
    <w:p w14:paraId="2C4A10D4">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6、试剂交叉反应：黄疸、脂血、含有EDTA、总蛋白、抗坏血酸、葡萄糖、肝素、对乙酰氨基酚等物质在日常可能获得的剂量下不对苯丙氨酸浓度检测存在干扰；</w:t>
      </w:r>
    </w:p>
    <w:p w14:paraId="0320E1A8">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7、试剂盒组成：包含与批号匹配的质量控制证书，苯丙氨酸校准品（干血斑），苯丙氨酸质控品(干血斑)，苯丙氨酸底物，苯丙氨酸酶，苯丙氨酸测试缓冲液，萃取液，微孔板条码标签等；</w:t>
      </w:r>
    </w:p>
    <w:p w14:paraId="48A7C8B8">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8、试剂储存条件及有效期：试剂盒在2-8℃下储存，有效期至少12个月；</w:t>
      </w:r>
    </w:p>
    <w:p w14:paraId="01A7B7C8">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b/>
          <w:bCs/>
          <w:color w:val="auto"/>
          <w:szCs w:val="21"/>
          <w:highlight w:val="none"/>
        </w:rPr>
        <w:t>响应文件中提供药品监督管理部门批准盖章的试剂说明书证明</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说明使用本</w:t>
      </w:r>
      <w:r>
        <w:rPr>
          <w:rFonts w:hint="eastAsia" w:ascii="宋体" w:hAnsi="宋体" w:eastAsia="宋体" w:cs="宋体"/>
          <w:color w:val="auto"/>
          <w:sz w:val="21"/>
          <w:szCs w:val="21"/>
        </w:rPr>
        <w:t>试剂盒检测的新生儿PHE浓度百分位数的研究及确诊病例验证结果，为实验室建立本实验室cut-off值提供参考；</w:t>
      </w:r>
    </w:p>
    <w:p w14:paraId="437FFD49">
      <w:pPr>
        <w:spacing w:after="240" w:line="360" w:lineRule="auto"/>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10、试剂的使用能与</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人现有出生健康平台信息管理系统（Version:7.</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）无缝对接</w:t>
      </w:r>
      <w:r>
        <w:rPr>
          <w:rFonts w:hint="eastAsia" w:ascii="宋体" w:hAnsi="宋体" w:eastAsia="宋体" w:cs="宋体"/>
          <w:color w:val="auto"/>
          <w:sz w:val="21"/>
          <w:szCs w:val="21"/>
          <w:lang w:eastAsia="zh-CN"/>
        </w:rPr>
        <w:t>。</w:t>
      </w:r>
    </w:p>
    <w:p w14:paraId="16639185">
      <w:pPr>
        <w:spacing w:line="360" w:lineRule="auto"/>
        <w:ind w:left="0"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附件（二）：GSP 促甲状腺素测定试剂盒（时间分辨荧光法）技术参数</w:t>
      </w:r>
    </w:p>
    <w:p w14:paraId="6F3254E7">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1、试剂方法学：时间分辨荧光法；</w:t>
      </w:r>
    </w:p>
    <w:p w14:paraId="6B1F08B9">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2、产品用途：用于定量测定干血斑滤纸片中TSH含量；</w:t>
      </w:r>
    </w:p>
    <w:p w14:paraId="29567CC6">
      <w:pPr>
        <w:spacing w:line="360" w:lineRule="auto"/>
        <w:ind w:left="0" w:leftChars="0"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3、试剂适用于招标人现有的PerkinElmer 2021-0010型全自动荧光免疫分析仪；</w:t>
      </w:r>
      <w:r>
        <w:rPr>
          <w:rFonts w:hint="eastAsia" w:ascii="宋体" w:hAnsi="宋体" w:eastAsia="宋体" w:cs="宋体"/>
          <w:b/>
          <w:bCs/>
          <w:color w:val="auto"/>
          <w:sz w:val="21"/>
          <w:szCs w:val="21"/>
        </w:rPr>
        <w:t>(</w:t>
      </w:r>
      <w:r>
        <w:rPr>
          <w:rFonts w:hint="eastAsia" w:ascii="Times New Roman" w:hAnsi="@仿宋_GB2312" w:eastAsia="宋体" w:cs="@仿宋_GB2312"/>
          <w:b/>
          <w:bCs/>
          <w:color w:val="auto"/>
          <w:szCs w:val="20"/>
          <w:lang w:val="en-US" w:eastAsia="zh-CN"/>
        </w:rPr>
        <w:t>响应文件中提供药品监督管理部门批准盖章的试剂说明书证明</w:t>
      </w:r>
      <w:r>
        <w:rPr>
          <w:rFonts w:hint="eastAsia" w:ascii="宋体" w:hAnsi="宋体" w:eastAsia="宋体" w:cs="宋体"/>
          <w:b/>
          <w:bCs/>
          <w:color w:val="auto"/>
          <w:sz w:val="21"/>
          <w:szCs w:val="21"/>
        </w:rPr>
        <w:t>)</w:t>
      </w:r>
    </w:p>
    <w:p w14:paraId="5690C67F">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4、试剂需具备唯一识别的条形码及备用的微孔板条形码标签，在实验中依据此标签进行智能匹配；</w:t>
      </w:r>
    </w:p>
    <w:p w14:paraId="5404564D">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5、所投试剂经严格合规的精密度验证（依据NCCLS文件EP5-A2，使用三个试剂盒批号和3台仪器，运行20天以上），24小时内使用一条校准曲线得出的24小时有效精密度应达到：组内偏差CV≤8%、批内偏差：CV≤9%；</w:t>
      </w:r>
    </w:p>
    <w:p w14:paraId="23ECC7E3">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6、试剂抗干扰性：黄疸、脂血、溶血标本及含EDTA浓度达10.0 mg/mL 全血的标本不影响检测；</w:t>
      </w:r>
    </w:p>
    <w:p w14:paraId="128F3EEC">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试剂盒组成：TSH校准品（干血斑），TSH质控品（干血斑），铕示踪剂标记的小鼠抗人促甲状腺素单克隆抗体，人促甲状腺素分析缓冲液，小鼠抗人促甲状腺素单克隆抗体包被的微孔板，备用的微孔板条码标签、洗板液等；</w:t>
      </w:r>
    </w:p>
    <w:p w14:paraId="5A59292E">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8、试剂储存条件及有效期：试剂盒在2-8℃下避光储存，有效期不少于24个月；</w:t>
      </w:r>
    </w:p>
    <w:p w14:paraId="52FDCC39">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b/>
          <w:bCs/>
          <w:color w:val="auto"/>
          <w:szCs w:val="21"/>
          <w:highlight w:val="none"/>
        </w:rPr>
        <w:t>响应文件中提供药品监督管理部门批准盖章的试剂说明书证明</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说明使用</w:t>
      </w:r>
      <w:r>
        <w:rPr>
          <w:rFonts w:hint="eastAsia" w:ascii="宋体" w:hAnsi="宋体" w:eastAsia="宋体" w:cs="宋体"/>
          <w:color w:val="auto"/>
          <w:sz w:val="21"/>
          <w:szCs w:val="21"/>
        </w:rPr>
        <w:t>样本量大于2000例的使用本试剂盒检测的新生儿TSH浓度百分位数的研究，及确诊病例验证结果，为实验室建立本实验室cut-off值提供参考；</w:t>
      </w:r>
    </w:p>
    <w:p w14:paraId="1FF5B6FC">
      <w:pPr>
        <w:spacing w:line="360" w:lineRule="auto"/>
        <w:ind w:left="0" w:leftChars="0"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10、试剂的使用能与</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人现有出生健康平台信息管理系统（Version:7.</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）无缝对接；</w:t>
      </w:r>
    </w:p>
    <w:p w14:paraId="408898ED">
      <w:pPr>
        <w:spacing w:after="24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11、样本要求：为满足现有新生儿疾病筛查质控体系，试剂对样本在室温下hTSH的检测稳定性不少于1个月；在4℃有干燥剂的密封袋内hTSH的检测稳定性可达到1年。</w:t>
      </w:r>
    </w:p>
    <w:p w14:paraId="0042C77C">
      <w:pPr>
        <w:widowControl w:val="0"/>
        <w:spacing w:line="360" w:lineRule="auto"/>
        <w:ind w:left="0" w:leftChars="0" w:firstLine="422"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附件（三）：</w:t>
      </w:r>
      <w:r>
        <w:rPr>
          <w:rFonts w:hint="eastAsia" w:ascii="宋体" w:hAnsi="宋体" w:eastAsia="宋体" w:cs="宋体"/>
          <w:b/>
          <w:bCs/>
          <w:color w:val="auto"/>
          <w:kern w:val="2"/>
          <w:sz w:val="21"/>
          <w:szCs w:val="21"/>
          <w:lang w:val="en-US" w:eastAsia="zh-CN" w:bidi="ar-SA"/>
        </w:rPr>
        <w:t>GSP 17α-羟孕酮测定试剂盒（时间分辨荧光法）</w:t>
      </w:r>
      <w:r>
        <w:rPr>
          <w:rFonts w:hint="eastAsia" w:ascii="宋体" w:hAnsi="宋体" w:eastAsia="宋体" w:cs="宋体"/>
          <w:b/>
          <w:color w:val="auto"/>
          <w:kern w:val="2"/>
          <w:sz w:val="21"/>
          <w:szCs w:val="21"/>
          <w:lang w:val="en-US" w:eastAsia="zh-CN" w:bidi="ar-SA"/>
        </w:rPr>
        <w:t>技术参数</w:t>
      </w:r>
    </w:p>
    <w:p w14:paraId="0E1FE1F6">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1、试剂方法学：时间分辨荧光法；</w:t>
      </w:r>
    </w:p>
    <w:p w14:paraId="2A65526E">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2、产品用途：用于定量测定干血斑滤纸片中17α-羟孕酮含量；</w:t>
      </w:r>
    </w:p>
    <w:p w14:paraId="0430B842">
      <w:pPr>
        <w:spacing w:line="360" w:lineRule="auto"/>
        <w:ind w:left="0" w:leftChars="0"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3、试剂适用于招标人现有的PerkinElmer 2021-0010型全自动荧光免疫分析仪；</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响应文件中提供药品监督管理部门批准盖章的试剂说明书证明</w:t>
      </w:r>
      <w:r>
        <w:rPr>
          <w:rFonts w:hint="eastAsia" w:ascii="宋体" w:hAnsi="宋体" w:eastAsia="宋体" w:cs="宋体"/>
          <w:b/>
          <w:bCs/>
          <w:color w:val="auto"/>
          <w:sz w:val="21"/>
          <w:szCs w:val="21"/>
          <w:highlight w:val="none"/>
        </w:rPr>
        <w:t>)</w:t>
      </w:r>
    </w:p>
    <w:p w14:paraId="77F0FD68">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4、试剂需具备唯一识别的条形码及备用的微孔板条形码标签，在实验中依据此标签进行智能匹配；</w:t>
      </w:r>
    </w:p>
    <w:p w14:paraId="2F51FA43">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5、所投试剂经严格合规的精密度验证（依据NCCLS文件EP5-A2，使用三个试剂盒批号和3台仪器，运行20天以上），24小时内使用一条校准曲线得出的24小时有效精密度应达到：组内变异度CV≤11%、批内变异度CV≤13%；</w:t>
      </w:r>
    </w:p>
    <w:p w14:paraId="23768AB7">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6、试剂抗干扰性：与21-脱氧皮质醇、17α-OH孕烯醇酮、17α-OH孕烯醇酮硫酸盐、11-脱氧皮质醇、孕酮等主要干扰物质的交叉反应性均小于1%；黄疸、脂血、溶血标本及含EDTA浓度达12.5mg/mL 全血的标本不影响检测；</w:t>
      </w:r>
    </w:p>
    <w:p w14:paraId="1E2E2E91">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试剂盒组成：包含与批号匹配的质量控制证书，17a-羟孕酮校准品（干血斑），17a-羟孕酮质控品（干血斑），铕示踪剂标记的17α-羟孕酮贮存液，兔抗17-α羟孕酮血清贮存液，17-α羟孕酮分析缓冲溶液，山羊抗兔IgG包被的微孔板，备用的微孔板条码标签、洗板液等；</w:t>
      </w:r>
    </w:p>
    <w:p w14:paraId="78DBD796">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8、试剂储存及有效期：试剂盒在2-8℃下储存，有效期不少于24个月；</w:t>
      </w:r>
    </w:p>
    <w:p w14:paraId="2206AD46">
      <w:pPr>
        <w:spacing w:line="360" w:lineRule="auto"/>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9、</w:t>
      </w:r>
      <w:r>
        <w:rPr>
          <w:rFonts w:hint="eastAsia" w:ascii="宋体" w:hAnsi="宋体" w:eastAsia="宋体" w:cs="宋体"/>
          <w:b/>
          <w:bCs/>
          <w:color w:val="auto"/>
          <w:szCs w:val="21"/>
          <w:highlight w:val="none"/>
        </w:rPr>
        <w:t>响应文件中提供药品监督管理部门批准盖章的试剂说明书证明</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说明使用</w:t>
      </w:r>
      <w:r>
        <w:rPr>
          <w:rFonts w:hint="eastAsia" w:ascii="宋体" w:hAnsi="宋体" w:eastAsia="宋体" w:cs="宋体"/>
          <w:color w:val="auto"/>
          <w:sz w:val="21"/>
          <w:szCs w:val="21"/>
        </w:rPr>
        <w:t>使用本试剂盒检测的、根据不同出生体重和孕周进行分类计算17-OHP浓度百分位数的研究结果，及确诊病例验证结果，为实验室建立本实验室cut-off值提供参考</w:t>
      </w:r>
      <w:r>
        <w:rPr>
          <w:rFonts w:hint="eastAsia" w:ascii="宋体" w:hAnsi="宋体" w:eastAsia="宋体" w:cs="宋体"/>
          <w:color w:val="auto"/>
          <w:sz w:val="21"/>
          <w:szCs w:val="21"/>
          <w:lang w:eastAsia="zh-CN"/>
        </w:rPr>
        <w:t>；</w:t>
      </w:r>
    </w:p>
    <w:p w14:paraId="5371F7ED">
      <w:pPr>
        <w:spacing w:line="360" w:lineRule="auto"/>
        <w:ind w:left="0" w:leftChars="0" w:firstLine="420" w:firstLineChars="200"/>
        <w:rPr>
          <w:rFonts w:hint="eastAsia" w:ascii="宋体" w:hAnsi="宋体" w:eastAsia="宋体" w:cs="宋体"/>
          <w:strike/>
          <w:color w:val="auto"/>
          <w:sz w:val="21"/>
          <w:szCs w:val="21"/>
          <w:highlight w:val="yellow"/>
        </w:rPr>
      </w:pPr>
      <w:r>
        <w:rPr>
          <w:rFonts w:hint="eastAsia" w:ascii="宋体" w:hAnsi="宋体" w:eastAsia="宋体" w:cs="宋体"/>
          <w:color w:val="auto"/>
          <w:sz w:val="21"/>
          <w:szCs w:val="21"/>
        </w:rPr>
        <w:t>10、试剂的使用能与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人现有出生健康平台信息管理系统（Version:7.</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）无缝对接；</w:t>
      </w:r>
    </w:p>
    <w:p w14:paraId="56B2A25F">
      <w:pPr>
        <w:spacing w:after="24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11、样本要求：为满足现有新生儿疾病筛查质控体系，试剂对样本在室温下17-OHP的检测稳定性不少于7个月；在4℃有干燥剂的密封袋内17-OHP的检测稳定性至少可达到1年以上。</w:t>
      </w:r>
    </w:p>
    <w:p w14:paraId="1A228468">
      <w:pPr>
        <w:widowControl w:val="0"/>
        <w:spacing w:line="360" w:lineRule="auto"/>
        <w:ind w:left="0" w:leftChars="0" w:firstLine="422" w:firstLineChars="200"/>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附件（四）：</w:t>
      </w:r>
      <w:r>
        <w:rPr>
          <w:rFonts w:hint="eastAsia" w:ascii="宋体" w:hAnsi="宋体" w:eastAsia="宋体" w:cs="宋体"/>
          <w:b/>
          <w:bCs/>
          <w:color w:val="auto"/>
          <w:kern w:val="2"/>
          <w:sz w:val="21"/>
          <w:szCs w:val="21"/>
          <w:lang w:val="en-US" w:eastAsia="zh-CN" w:bidi="ar-SA"/>
        </w:rPr>
        <w:t>新生儿多种遗传代谢病筛查试剂（串联质谱法）</w:t>
      </w:r>
      <w:r>
        <w:rPr>
          <w:rFonts w:hint="eastAsia" w:ascii="宋体" w:hAnsi="宋体" w:eastAsia="宋体" w:cs="宋体"/>
          <w:b/>
          <w:color w:val="auto"/>
          <w:kern w:val="2"/>
          <w:sz w:val="21"/>
          <w:szCs w:val="21"/>
          <w:lang w:val="en-US" w:eastAsia="zh-CN" w:bidi="ar-SA"/>
        </w:rPr>
        <w:t>技术参数</w:t>
      </w:r>
    </w:p>
    <w:p w14:paraId="11318CC8">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1、试剂检测的样本类型：滤纸干血片样本；</w:t>
      </w:r>
    </w:p>
    <w:p w14:paraId="5714D829">
      <w:pPr>
        <w:spacing w:line="360" w:lineRule="auto"/>
        <w:ind w:left="0" w:leftChars="0" w:firstLine="420" w:firstLineChars="200"/>
        <w:rPr>
          <w:rFonts w:hint="eastAsia" w:ascii="宋体" w:hAnsi="宋体" w:eastAsia="宋体" w:cs="宋体"/>
          <w:b/>
          <w:bCs/>
          <w:strike/>
          <w:dstrike w:val="0"/>
          <w:color w:val="auto"/>
          <w:sz w:val="21"/>
          <w:szCs w:val="21"/>
          <w:highlight w:val="none"/>
          <w:lang w:eastAsia="zh-CN"/>
        </w:rPr>
      </w:pPr>
      <w:r>
        <w:rPr>
          <w:rFonts w:hint="eastAsia" w:ascii="宋体" w:hAnsi="宋体" w:eastAsia="宋体" w:cs="宋体"/>
          <w:color w:val="auto"/>
          <w:sz w:val="21"/>
          <w:szCs w:val="21"/>
        </w:rPr>
        <w:t>2、试剂适用性：试剂应适用于实验室现有的新生儿疾病串联质谱筛查系统（包括Waters TQD串联质谱系统</w:t>
      </w:r>
      <w:r>
        <w:rPr>
          <w:rFonts w:hint="eastAsia" w:ascii="宋体" w:hAnsi="宋体" w:eastAsia="宋体" w:cs="宋体"/>
          <w:color w:val="auto"/>
          <w:sz w:val="21"/>
          <w:szCs w:val="21"/>
          <w:lang w:eastAsia="zh-CN"/>
        </w:rPr>
        <w:t>）；</w:t>
      </w:r>
    </w:p>
    <w:p w14:paraId="0064ADC9">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、试剂采用适度相应要求的实验前处理方法检测氨基酸、肉碱等指标，应包含开展串联质谱新生儿筛查项目中所有需要的前处理试剂和物品，包括内标准品、高值质控品、低值质控品、U型底耐热微孔板等；</w:t>
      </w:r>
    </w:p>
    <w:p w14:paraId="09B9CFA9">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、试剂检测的线性：必须提供所有主要指标在所投新生儿多种遗传代谢病筛查液相色谱串联质谱系统上检测的线性范围数据列表，相关系数应不低于0.99，并提供所有主要指标的线性方程斜率范围；</w:t>
      </w:r>
    </w:p>
    <w:p w14:paraId="22945061">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、检测的抗干扰性：</w:t>
      </w:r>
      <w:r>
        <w:rPr>
          <w:rFonts w:hint="eastAsia" w:ascii="宋体" w:hAnsi="宋体" w:eastAsia="宋体" w:cs="宋体"/>
          <w:color w:val="auto"/>
          <w:sz w:val="21"/>
          <w:szCs w:val="21"/>
          <w:highlight w:val="none"/>
        </w:rPr>
        <w:t>试剂说明书中必</w:t>
      </w:r>
      <w:r>
        <w:rPr>
          <w:rFonts w:hint="eastAsia" w:ascii="宋体" w:hAnsi="宋体" w:eastAsia="宋体" w:cs="宋体"/>
          <w:color w:val="auto"/>
          <w:sz w:val="21"/>
          <w:szCs w:val="21"/>
        </w:rPr>
        <w:t>须注明试剂的干扰测试物质应≥</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种，提供可能干扰目标检测指标的干扰物名称；</w:t>
      </w:r>
    </w:p>
    <w:p w14:paraId="745747D2">
      <w:p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、参考值（参考范围）的建立：试剂说明书中必须注明试剂检测每个指标的参考值或参考范围。</w:t>
      </w:r>
    </w:p>
    <w:p w14:paraId="27A3C49E">
      <w:pPr>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7、新生儿多种遗传代谢病筛查试剂（串联质谱法）必须提供经临床验证的代谢性疾病与检测指标间的对应关系中应不少于18种遗传代谢病。</w:t>
      </w:r>
    </w:p>
    <w:p w14:paraId="3FEFDC9E">
      <w:pPr>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8、临床评价：试剂说明书中应提供总样本10000例以上的研究，其中测试的病种包括；氨基酸代谢病、脂肪酸氧化代谢病、有机酸代谢病。</w:t>
      </w:r>
    </w:p>
    <w:p w14:paraId="33958090">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A2DD2"/>
    <w:rsid w:val="7B4A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2025-04-23T02:42:00Z</dcterms:created>
  <dc:creator>WPS</dc:creator>
  <cp:lastModifiedBy>WPS</cp:lastModifiedBy>
  <dcterms:modified xsi:type="dcterms:W3CDTF">2025-04-23T02:43:02Z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9836F7F60F544523ACF86F7C08A7FE2F_11</vt:lpwstr>
  </property>
  <property fmtid="{D5CDD505-2E9C-101B-9397-08002B2CF9AE}" pid="4" name="KSOTemplateDocerSaveRecord">
    <vt:lpwstr>eyJoZGlkIjoiMWE1ZmY4MGMxZDYxY2VkZWM3MWNiMDdiMjg1ZTU4NjIiLCJ1c2VySWQiOiI0MTgyMDI4OTUifQ==</vt:lpwstr>
  </property>
</Properties>
</file>