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A6ED6">
      <w:pPr>
        <w:widowControl/>
        <w:numPr>
          <w:numId w:val="0"/>
        </w:numPr>
        <w:jc w:val="center"/>
        <w:outlineLvl w:val="0"/>
        <w:rPr>
          <w:rFonts w:ascii="宋体" w:hAnsi="宋体" w:cs="宋体"/>
          <w:b/>
          <w:bCs/>
          <w:color w:val="auto"/>
          <w:kern w:val="0"/>
          <w:sz w:val="30"/>
          <w:szCs w:val="30"/>
          <w:highlight w:val="none"/>
          <w:lang w:bidi="ar"/>
        </w:rPr>
      </w:pPr>
      <w:bookmarkStart w:id="2" w:name="_GoBack"/>
      <w:bookmarkEnd w:id="2"/>
      <w:bookmarkStart w:id="0" w:name="_Toc163649425"/>
      <w:bookmarkStart w:id="1" w:name="_Hlk163657308"/>
      <w:r>
        <w:rPr>
          <w:rFonts w:hint="eastAsia" w:ascii="宋体" w:hAnsi="宋体" w:cs="宋体"/>
          <w:b/>
          <w:bCs/>
          <w:color w:val="auto"/>
          <w:kern w:val="0"/>
          <w:sz w:val="30"/>
          <w:szCs w:val="30"/>
          <w:highlight w:val="none"/>
          <w:lang w:bidi="ar"/>
        </w:rPr>
        <w:t>采购需求</w:t>
      </w:r>
      <w:bookmarkEnd w:id="0"/>
    </w:p>
    <w:bookmarkEnd w:id="1"/>
    <w:p w14:paraId="60E3594F">
      <w:pPr>
        <w:spacing w:line="360" w:lineRule="auto"/>
        <w:ind w:firstLine="422" w:firstLineChars="200"/>
        <w:rPr>
          <w:rFonts w:ascii="宋体" w:hAnsi="宋体" w:cs="仿宋"/>
          <w:b/>
          <w:bCs/>
          <w:color w:val="auto"/>
          <w:szCs w:val="21"/>
          <w:highlight w:val="none"/>
        </w:rPr>
      </w:pPr>
      <w:r>
        <w:rPr>
          <w:rFonts w:hint="eastAsia" w:ascii="宋体" w:hAnsi="宋体" w:cs="仿宋"/>
          <w:b/>
          <w:bCs/>
          <w:color w:val="auto"/>
          <w:szCs w:val="21"/>
          <w:highlight w:val="none"/>
        </w:rPr>
        <w:t>一、项目基本需求：</w:t>
      </w:r>
    </w:p>
    <w:p w14:paraId="213A152A">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为了保证苯丙酮尿症患儿治疗用功能性食品的供应，现向社会公开征集具有供货服务能力的供应商2-4家，负责安庆市妇幼保健计划生育服务中心苯丙酮尿症患儿治疗用功能性食品的供应。苯丙酮尿症患儿治疗用功能性食品包括：奶粉（固体饮料）、蛋白粉（蛋白型固体饮料）、淀粉米、特用淀粉、淀粉糊、低蛋白大米、低蛋白米饭、低蛋白米粉、低蛋白面粉，低蛋白零食等。</w:t>
      </w:r>
    </w:p>
    <w:p w14:paraId="0856E944">
      <w:pPr>
        <w:spacing w:line="360" w:lineRule="auto"/>
        <w:ind w:firstLine="422" w:firstLineChars="200"/>
        <w:rPr>
          <w:rFonts w:ascii="宋体" w:hAnsi="宋体" w:cs="仿宋"/>
          <w:color w:val="auto"/>
          <w:szCs w:val="21"/>
          <w:highlight w:val="none"/>
        </w:rPr>
      </w:pPr>
      <w:r>
        <w:rPr>
          <w:rFonts w:hint="eastAsia" w:ascii="宋体" w:hAnsi="宋体" w:cs="仿宋"/>
          <w:b/>
          <w:bCs/>
          <w:color w:val="auto"/>
          <w:szCs w:val="21"/>
          <w:highlight w:val="none"/>
        </w:rPr>
        <w:t>二、付款方式：</w:t>
      </w:r>
      <w:r>
        <w:rPr>
          <w:rFonts w:hint="eastAsia" w:ascii="宋体" w:hAnsi="宋体" w:cs="仿宋"/>
          <w:color w:val="auto"/>
          <w:szCs w:val="21"/>
          <w:highlight w:val="none"/>
        </w:rPr>
        <w:t>合同签订后按采购人需求分批供货，据实结算。</w:t>
      </w:r>
    </w:p>
    <w:p w14:paraId="50533600">
      <w:pPr>
        <w:spacing w:line="360" w:lineRule="auto"/>
        <w:ind w:firstLine="422" w:firstLineChars="200"/>
        <w:rPr>
          <w:rFonts w:ascii="宋体" w:hAnsi="宋体" w:cs="仿宋"/>
          <w:color w:val="auto"/>
          <w:szCs w:val="21"/>
          <w:highlight w:val="none"/>
        </w:rPr>
      </w:pPr>
      <w:r>
        <w:rPr>
          <w:rFonts w:hint="eastAsia" w:ascii="宋体" w:hAnsi="宋体" w:cs="仿宋"/>
          <w:b/>
          <w:bCs/>
          <w:color w:val="auto"/>
          <w:szCs w:val="21"/>
          <w:highlight w:val="none"/>
        </w:rPr>
        <w:t>三、协议供货期限：</w:t>
      </w:r>
      <w:r>
        <w:rPr>
          <w:rFonts w:hint="eastAsia" w:ascii="宋体" w:hAnsi="宋体" w:cs="仿宋"/>
          <w:color w:val="auto"/>
          <w:szCs w:val="21"/>
          <w:highlight w:val="none"/>
        </w:rPr>
        <w:t>三年（1+1+1模式），合同一年一签，经征集人考核合格进入下一年度服务期（合同价不变），否则征集人将终止合同。</w:t>
      </w:r>
    </w:p>
    <w:p w14:paraId="5C9E520D">
      <w:pPr>
        <w:spacing w:line="360" w:lineRule="auto"/>
        <w:ind w:firstLine="422" w:firstLineChars="200"/>
        <w:rPr>
          <w:rFonts w:ascii="宋体" w:hAnsi="宋体" w:cs="仿宋"/>
          <w:b/>
          <w:bCs/>
          <w:color w:val="auto"/>
          <w:szCs w:val="21"/>
          <w:highlight w:val="none"/>
        </w:rPr>
      </w:pPr>
      <w:r>
        <w:rPr>
          <w:rFonts w:hint="eastAsia" w:ascii="宋体" w:hAnsi="宋体" w:cs="仿宋"/>
          <w:b/>
          <w:bCs/>
          <w:color w:val="auto"/>
          <w:szCs w:val="21"/>
          <w:highlight w:val="none"/>
        </w:rPr>
        <w:t>四、服务需求：</w:t>
      </w:r>
    </w:p>
    <w:p w14:paraId="10DC63FD">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 xml:space="preserve">1.配送服务 </w:t>
      </w:r>
    </w:p>
    <w:p w14:paraId="0C3EE8A1">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1.1入围供应商应在承诺的送货时间内供货，所有产品节假日照常配送，送货到位。 </w:t>
      </w:r>
    </w:p>
    <w:p w14:paraId="78F4D800">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1.2对近效期、破损及其他不合格包装产品及时免费更换。 </w:t>
      </w:r>
    </w:p>
    <w:p w14:paraId="554031F5">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1.3保证短缺产品及时供应。 </w:t>
      </w:r>
    </w:p>
    <w:p w14:paraId="29992236">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1.4配送的产品符合国家相关质量标准。 </w:t>
      </w:r>
    </w:p>
    <w:p w14:paraId="7AF96FA3">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1.5负责产品的运输、搬运等工作。 </w:t>
      </w:r>
    </w:p>
    <w:p w14:paraId="44F2CF6F">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2.其它要求 </w:t>
      </w:r>
    </w:p>
    <w:p w14:paraId="54069715">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2.1由产品质量问题引起的食品质量和医疗事故由该产品供应商承担。 </w:t>
      </w:r>
    </w:p>
    <w:p w14:paraId="2B805735">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2.2确保所提供产品不存在专利权、商标权等知识产权方面的争议。 </w:t>
      </w:r>
    </w:p>
    <w:p w14:paraId="40ABA355">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2.3入围供应商有其他优质服务承诺，可自行提供。 </w:t>
      </w:r>
    </w:p>
    <w:p w14:paraId="5C5EF728">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报价方式：本项目采取自主报价方式，但报价需经过征集人确定后才可作为合同价格，在确定期间征集人有权跟入围供应商协商，报价一经确定后期不在变更。供应商报价不得超过市场价格，征集人在签订合同前会对入围供应商报价进行市场询价，一经发现价格超过市场价格会立刻取消签订合同。</w:t>
      </w:r>
    </w:p>
    <w:p w14:paraId="7282E728">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供应商根据自身情况在响应文件“报价一览表”中根据下表填写所投产品（</w:t>
      </w:r>
      <w:r>
        <w:rPr>
          <w:rFonts w:hint="eastAsia" w:ascii="宋体" w:hAnsi="宋体" w:cs="仿宋"/>
          <w:color w:val="auto"/>
          <w:szCs w:val="21"/>
          <w:highlight w:val="none"/>
        </w:rPr>
        <w:t>包括但不限于：奶粉（固体饮料）、蛋白粉（蛋白型固体饮料）、淀粉米、特用淀粉、淀粉糊、低蛋白大米、低蛋白米饭、低蛋白米粉、低蛋白面粉，低蛋白零食等</w:t>
      </w:r>
      <w:r>
        <w:rPr>
          <w:rFonts w:hint="eastAsia" w:ascii="宋体" w:hAnsi="宋体" w:cs="宋体"/>
          <w:color w:val="auto"/>
          <w:kern w:val="0"/>
          <w:szCs w:val="21"/>
          <w:highlight w:val="none"/>
          <w:lang w:bidi="ar"/>
        </w:rPr>
        <w:t>）的规格参数及报价。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5E1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14:paraId="3469F0AF">
            <w:pPr>
              <w:pStyle w:val="9"/>
              <w:spacing w:before="105" w:line="360" w:lineRule="auto"/>
              <w:jc w:val="center"/>
              <w:rPr>
                <w:rFonts w:ascii="宋体" w:hAnsi="宋体" w:cs="宋体"/>
                <w:color w:val="auto"/>
                <w:kern w:val="0"/>
                <w:szCs w:val="21"/>
                <w:highlight w:val="none"/>
                <w:lang w:bidi="ar"/>
              </w:rPr>
            </w:pPr>
            <w:r>
              <w:rPr>
                <w:rFonts w:hint="eastAsia" w:ascii="仿宋" w:hAnsi="仿宋" w:eastAsia="仿宋" w:cs="仿宋"/>
                <w:b/>
                <w:bCs/>
                <w:snapToGrid w:val="0"/>
                <w:color w:val="auto"/>
                <w:spacing w:val="1"/>
                <w:kern w:val="0"/>
                <w:sz w:val="24"/>
                <w:highlight w:val="none"/>
                <w:lang w:eastAsia="en-US"/>
              </w:rPr>
              <w:t>货物名称</w:t>
            </w:r>
          </w:p>
        </w:tc>
        <w:tc>
          <w:tcPr>
            <w:tcW w:w="1420" w:type="dxa"/>
            <w:vAlign w:val="center"/>
          </w:tcPr>
          <w:p w14:paraId="51461C8F">
            <w:pPr>
              <w:pStyle w:val="9"/>
              <w:spacing w:line="360" w:lineRule="auto"/>
              <w:jc w:val="center"/>
              <w:rPr>
                <w:rFonts w:ascii="宋体" w:hAnsi="宋体" w:cs="宋体"/>
                <w:color w:val="auto"/>
                <w:kern w:val="0"/>
                <w:szCs w:val="21"/>
                <w:highlight w:val="none"/>
                <w:lang w:bidi="ar"/>
              </w:rPr>
            </w:pPr>
          </w:p>
        </w:tc>
        <w:tc>
          <w:tcPr>
            <w:tcW w:w="1420" w:type="dxa"/>
            <w:vAlign w:val="center"/>
          </w:tcPr>
          <w:p w14:paraId="589F7CBF">
            <w:pPr>
              <w:pStyle w:val="9"/>
              <w:spacing w:before="105" w:line="360" w:lineRule="auto"/>
              <w:jc w:val="center"/>
              <w:rPr>
                <w:rFonts w:ascii="宋体" w:hAnsi="宋体" w:cs="宋体"/>
                <w:color w:val="auto"/>
                <w:kern w:val="0"/>
                <w:szCs w:val="21"/>
                <w:highlight w:val="none"/>
                <w:lang w:bidi="ar"/>
              </w:rPr>
            </w:pPr>
            <w:r>
              <w:rPr>
                <w:rFonts w:hint="eastAsia" w:ascii="仿宋" w:hAnsi="仿宋" w:eastAsia="仿宋" w:cs="仿宋"/>
                <w:b/>
                <w:bCs/>
                <w:snapToGrid w:val="0"/>
                <w:color w:val="auto"/>
                <w:spacing w:val="1"/>
                <w:kern w:val="0"/>
                <w:sz w:val="24"/>
                <w:highlight w:val="none"/>
                <w:lang w:eastAsia="en-US"/>
              </w:rPr>
              <w:t>品牌型号</w:t>
            </w:r>
          </w:p>
        </w:tc>
        <w:tc>
          <w:tcPr>
            <w:tcW w:w="1420" w:type="dxa"/>
            <w:vAlign w:val="center"/>
          </w:tcPr>
          <w:p w14:paraId="22ADF6E7">
            <w:pPr>
              <w:pStyle w:val="9"/>
              <w:spacing w:line="360" w:lineRule="auto"/>
              <w:jc w:val="center"/>
              <w:rPr>
                <w:rFonts w:ascii="宋体" w:hAnsi="宋体" w:cs="宋体"/>
                <w:color w:val="auto"/>
                <w:kern w:val="0"/>
                <w:szCs w:val="21"/>
                <w:highlight w:val="none"/>
                <w:lang w:bidi="ar"/>
              </w:rPr>
            </w:pPr>
          </w:p>
        </w:tc>
        <w:tc>
          <w:tcPr>
            <w:tcW w:w="1421" w:type="dxa"/>
            <w:vAlign w:val="center"/>
          </w:tcPr>
          <w:p w14:paraId="0D91F7B4">
            <w:pPr>
              <w:pStyle w:val="9"/>
              <w:spacing w:before="105" w:line="360" w:lineRule="auto"/>
              <w:jc w:val="center"/>
              <w:rPr>
                <w:rFonts w:ascii="宋体" w:hAnsi="宋体" w:cs="宋体"/>
                <w:color w:val="auto"/>
                <w:kern w:val="0"/>
                <w:szCs w:val="21"/>
                <w:highlight w:val="none"/>
                <w:lang w:bidi="ar"/>
              </w:rPr>
            </w:pPr>
            <w:r>
              <w:rPr>
                <w:rFonts w:hint="eastAsia" w:ascii="仿宋" w:hAnsi="仿宋" w:eastAsia="仿宋" w:cs="仿宋"/>
                <w:b/>
                <w:bCs/>
                <w:snapToGrid w:val="0"/>
                <w:color w:val="auto"/>
                <w:spacing w:val="1"/>
                <w:kern w:val="0"/>
                <w:sz w:val="24"/>
                <w:highlight w:val="none"/>
              </w:rPr>
              <w:t>单价（元）</w:t>
            </w:r>
          </w:p>
        </w:tc>
        <w:tc>
          <w:tcPr>
            <w:tcW w:w="1421" w:type="dxa"/>
            <w:vAlign w:val="center"/>
          </w:tcPr>
          <w:p w14:paraId="7E21EFF8">
            <w:pPr>
              <w:pStyle w:val="9"/>
              <w:spacing w:line="360" w:lineRule="auto"/>
              <w:jc w:val="center"/>
              <w:rPr>
                <w:rFonts w:ascii="宋体" w:hAnsi="宋体" w:cs="宋体"/>
                <w:color w:val="auto"/>
                <w:kern w:val="0"/>
                <w:szCs w:val="21"/>
                <w:highlight w:val="none"/>
                <w:lang w:bidi="ar"/>
              </w:rPr>
            </w:pPr>
          </w:p>
        </w:tc>
      </w:tr>
      <w:tr w14:paraId="673D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6"/>
          </w:tcPr>
          <w:p w14:paraId="736543A6">
            <w:pPr>
              <w:widowControl/>
              <w:spacing w:line="360"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所投产品的技术参数及性能说明：</w:t>
            </w:r>
          </w:p>
          <w:p w14:paraId="235A70F6">
            <w:pPr>
              <w:widowControl/>
              <w:spacing w:line="360" w:lineRule="auto"/>
              <w:jc w:val="left"/>
              <w:rPr>
                <w:rFonts w:ascii="宋体" w:hAnsi="宋体" w:cs="宋体"/>
                <w:color w:val="auto"/>
                <w:kern w:val="0"/>
                <w:szCs w:val="21"/>
                <w:highlight w:val="none"/>
                <w:lang w:bidi="ar"/>
              </w:rPr>
            </w:pPr>
          </w:p>
          <w:p w14:paraId="2EC13C00">
            <w:pPr>
              <w:pStyle w:val="5"/>
              <w:ind w:left="0" w:firstLine="0"/>
              <w:rPr>
                <w:color w:val="auto"/>
                <w:highlight w:val="none"/>
              </w:rPr>
            </w:pPr>
          </w:p>
        </w:tc>
      </w:tr>
    </w:tbl>
    <w:p w14:paraId="3BCA8B4D">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注：为满足PKU患儿的食品需求,供应商所投淀粉制品类和糕点类为低蛋白产品,产品中蛋白质含量须满足蛋白质≤1g/100g,固体饮料类(包括奶粉和蛋白粉等)补充蛋白质的产品须满足苯丙氨酸含量≤150mg/100g的要求。</w:t>
      </w:r>
      <w:r>
        <w:rPr>
          <w:rFonts w:hint="eastAsia" w:ascii="宋体" w:hAnsi="宋体" w:cs="宋体"/>
          <w:b/>
          <w:bCs/>
          <w:color w:val="auto"/>
          <w:kern w:val="0"/>
          <w:szCs w:val="21"/>
          <w:highlight w:val="none"/>
          <w:lang w:bidi="ar"/>
        </w:rPr>
        <w:t>所有产品需提供第三方出具的检测报告或提供各产品实际包装标签标示的产品营养成分表。</w:t>
      </w:r>
      <w:r>
        <w:rPr>
          <w:rFonts w:hint="eastAsia" w:ascii="宋体" w:hAnsi="宋体" w:cs="宋体"/>
          <w:color w:val="auto"/>
          <w:kern w:val="0"/>
          <w:szCs w:val="21"/>
          <w:highlight w:val="none"/>
          <w:lang w:bidi="ar"/>
        </w:rPr>
        <w:t>供应商可根据自身情况增加产品数量，但一经确定后期不在追加产品，如确需增加，需经征集人确定。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D495F"/>
    <w:rsid w:val="65AD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kern w:val="0"/>
      <w:szCs w:val="21"/>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2025-08-21T01:22:00Z</dcterms:created>
  <dc:creator>好运</dc:creator>
  <cp:lastModifiedBy>好运</cp:lastModifiedBy>
  <dcterms:modified xsi:type="dcterms:W3CDTF">2025-08-21T01:23:43Z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CA7D50EADC374539B822A36C81B31FB7_11</vt:lpwstr>
  </property>
  <property fmtid="{D5CDD505-2E9C-101B-9397-08002B2CF9AE}" pid="4" name="KSOTemplateDocerSaveRecord">
    <vt:lpwstr>eyJoZGlkIjoiNmViOTI1YjMzNzU1MGU0NTliYzYxY2RiZWM1MzEwMGQiLCJ1c2VySWQiOiI0MjM0NDQ1ODIifQ==</vt:lpwstr>
  </property>
</Properties>
</file>